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esta historia el Secretario Académico podrá solicitar la corrección de una minuta de reunión.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emitirá una alerta a los participantes sobre irregularidades en la minuta.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400"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Sólo se emitirá una alerta por cada minuta que requiera corrección.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ycyo9t6l6zhg" w:id="2"/>
      <w:bookmarkEnd w:id="2"/>
      <w:r w:rsidDel="00000000" w:rsidR="00000000" w:rsidRPr="00000000">
        <w:rPr>
          <w:rFonts w:ascii="Arial" w:cs="Arial" w:eastAsia="Arial" w:hAnsi="Arial"/>
          <w:color w:val="00000a"/>
          <w:sz w:val="40"/>
          <w:szCs w:val="40"/>
          <w:rtl w:val="0"/>
        </w:rPr>
        <w:t xml:space="preserve">Criterios de aceptación </w:t>
      </w:r>
    </w:p>
    <w:p w:rsidR="00000000" w:rsidDel="00000000" w:rsidP="00000000" w:rsidRDefault="00000000" w:rsidRPr="00000000" w14:paraId="00000008">
      <w:pPr>
        <w:keepNext w:val="1"/>
        <w:keepLines w:val="1"/>
        <w:widowControl w:val="0"/>
        <w:spacing w:after="120" w:before="400" w:line="240" w:lineRule="auto"/>
        <w:contextualSpacing w:val="0"/>
        <w:rPr>
          <w:rFonts w:ascii="Arial" w:cs="Arial" w:eastAsia="Arial" w:hAnsi="Arial"/>
          <w:color w:val="00000a"/>
          <w:sz w:val="40"/>
          <w:szCs w:val="40"/>
        </w:rPr>
      </w:pPr>
      <w:bookmarkStart w:colFirst="0" w:colLast="0" w:name="_z2zqqmn4c9hr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H24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Secretario Académico, yo debería contar con una función para solicitar la corrección de una minuta de reunión con la finalidad de informar a los participantes de irregularidades en esta.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Al ingresar los datos del usuario Secretario académico,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Se debe tener una función para solicitar la corrección de una minuta para informar sobre irregularidades.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En la solicitud de corrección de minuta,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a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0"/>
                <w:szCs w:val="20"/>
                <w:rtl w:val="0"/>
              </w:rPr>
              <w:t xml:space="preserve">La solicitud de corrección de minuta,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