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pPr>
      <w:r>
        <w:rPr>
          <w:rFonts w:ascii="Arial" w:cs="Arial" w:eastAsia="Arial" w:hAnsi="Arial"/>
          <w:b/>
          <w:bCs/>
          <w:color w:val="000000"/>
          <w:sz w:val="64"/>
          <w:szCs w:val="64"/>
        </w:rPr>
        <w:t xml:space="preserve">KestKlar</w:t>
      </w:r>
    </w:p>
    <w:p>
      <w:pPr>
        <w:spacing w:after="400" w:before="0"/>
      </w:pPr>
      <w:r>
        <w:rPr>
          <w:rFonts w:ascii="Arial" w:cs="Arial" w:eastAsia="Arial" w:hAnsi="Arial"/>
          <w:color w:val="555555"/>
          <w:sz w:val="28"/>
          <w:szCs w:val="28"/>
        </w:rPr>
        <w:t xml:space="preserve">Technical Architecture &amp; Engineering Plan</w:t>
      </w:r>
    </w:p>
    <w:p>
      <w:pPr>
        <w:spacing w:after="80" w:before="0"/>
      </w:pPr>
      <w:r>
        <w:rPr>
          <w:rFonts w:ascii="Arial" w:cs="Arial" w:eastAsia="Arial" w:hAnsi="Arial"/>
          <w:color w:val="888888"/>
          <w:sz w:val="18"/>
          <w:szCs w:val="18"/>
        </w:rPr>
        <w:t xml:space="preserve">Version 1.0  ·  May 2026  ·  Stackforge GmbH</w:t>
      </w:r>
    </w:p>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1. Product Overview</w:t>
      </w:r>
    </w:p>
    <w:p>
      <w:pPr>
        <w:spacing w:after="120" w:before="80"/>
      </w:pPr>
      <w:r>
        <w:rPr>
          <w:rFonts w:ascii="Arial" w:cs="Arial" w:eastAsia="Arial" w:hAnsi="Arial"/>
          <w:color w:val="000000"/>
          <w:sz w:val="20"/>
          <w:szCs w:val="20"/>
        </w:rPr>
        <w:t xml:space="preserve">KestKlar is a web application that automates the Austrian capital gains tax (KeSt) workflow for private investors using non-tax-simple foreign brokers such as Interactive Brokers, Scalable Capital, and DEGIRO.</w:t>
      </w:r>
    </w:p>
    <w:p>
      <w:pPr>
        <w:spacing w:after="120" w:before="80"/>
      </w:pPr>
      <w:r>
        <w:rPr>
          <w:rFonts w:ascii="Arial" w:cs="Arial" w:eastAsia="Arial" w:hAnsi="Arial"/>
          <w:color w:val="000000"/>
          <w:sz w:val="20"/>
          <w:szCs w:val="20"/>
        </w:rPr>
        <w:t xml:space="preserve">The product ingests broker statements (PDF or CSV), fetches fund tax data from the ÖEKB (Österreichische Kontrollbank), applies Austrian tax rules, and produces the exact Kennzahlen values for the E1kv supplementary schedule of the Einkommensteuererklärung.</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Core user problem</w:t>
      </w:r>
    </w:p>
    <w:p>
      <w:pPr>
        <w:pStyle w:val="ListParagraph"/>
        <w:numPr>
          <w:ilvl w:val="0"/>
          <w:numId w:val="2"/>
        </w:numPr>
        <w:spacing w:after="40" w:before="40"/>
      </w:pPr>
      <w:r>
        <w:rPr>
          <w:rFonts w:ascii="Arial" w:cs="Arial" w:eastAsia="Arial" w:hAnsi="Arial"/>
          <w:color w:val="000000"/>
          <w:sz w:val="20"/>
          <w:szCs w:val="20"/>
        </w:rPr>
        <w:t xml:space="preserve">Non-tax-simple brokers do not remit KeSt automatically — the investor must calculate it manually</w:t>
      </w:r>
    </w:p>
    <w:p>
      <w:pPr>
        <w:pStyle w:val="ListParagraph"/>
        <w:numPr>
          <w:ilvl w:val="0"/>
          <w:numId w:val="2"/>
        </w:numPr>
        <w:spacing w:after="40" w:before="40"/>
      </w:pPr>
      <w:r>
        <w:rPr>
          <w:rFonts w:ascii="Arial" w:cs="Arial" w:eastAsia="Arial" w:hAnsi="Arial"/>
          <w:color w:val="000000"/>
          <w:sz w:val="20"/>
          <w:szCs w:val="20"/>
        </w:rPr>
        <w:t xml:space="preserve">Austrian rules (weighted average pricing, deemed distributions via ÖEKB, cross-broker loss netting) differ materially from German rules and generic European tools</w:t>
      </w:r>
    </w:p>
    <w:p>
      <w:pPr>
        <w:pStyle w:val="ListParagraph"/>
        <w:numPr>
          <w:ilvl w:val="0"/>
          <w:numId w:val="2"/>
        </w:numPr>
        <w:spacing w:after="40" w:before="40"/>
      </w:pPr>
      <w:r>
        <w:rPr>
          <w:rFonts w:ascii="Arial" w:cs="Arial" w:eastAsia="Arial" w:hAnsi="Arial"/>
          <w:color w:val="000000"/>
          <w:sz w:val="20"/>
          <w:szCs w:val="20"/>
        </w:rPr>
        <w:t xml:space="preserve">ÖEKB data for accumulating ETFs (ausschüttungsgleiche Erträge) is not in any broker report — it requires per-fund, per-year manual lookups at my.oekb.at</w:t>
      </w:r>
    </w:p>
    <w:p>
      <w:pPr>
        <w:pStyle w:val="ListParagraph"/>
        <w:numPr>
          <w:ilvl w:val="0"/>
          <w:numId w:val="2"/>
        </w:numPr>
        <w:spacing w:after="40" w:before="40"/>
      </w:pPr>
      <w:r>
        <w:rPr>
          <w:rFonts w:ascii="Arial" w:cs="Arial" w:eastAsia="Arial" w:hAnsi="Arial"/>
          <w:color w:val="000000"/>
          <w:sz w:val="20"/>
          <w:szCs w:val="20"/>
        </w:rPr>
        <w:t xml:space="preserve">The full manual process takes 3–8 hours per tax year and requires domain knowledge most retail investors don't have</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What KestKlar produces</w:t>
      </w:r>
    </w:p>
    <w:p>
      <w:pPr>
        <w:pStyle w:val="ListParagraph"/>
        <w:numPr>
          <w:ilvl w:val="0"/>
          <w:numId w:val="2"/>
        </w:numPr>
        <w:spacing w:after="40" w:before="40"/>
      </w:pPr>
      <w:r>
        <w:rPr>
          <w:rFonts w:ascii="Arial" w:cs="Arial" w:eastAsia="Arial" w:hAnsi="Arial"/>
          <w:color w:val="000000"/>
          <w:sz w:val="20"/>
          <w:szCs w:val="20"/>
        </w:rPr>
        <w:t xml:space="preserve">KZ 937 / 936 — ausschüttungsgleiche Erträge (foreign / domestic custody)</w:t>
      </w:r>
    </w:p>
    <w:p>
      <w:pPr>
        <w:pStyle w:val="ListParagraph"/>
        <w:numPr>
          <w:ilvl w:val="0"/>
          <w:numId w:val="2"/>
        </w:numPr>
        <w:spacing w:after="40" w:before="40"/>
      </w:pPr>
      <w:r>
        <w:rPr>
          <w:rFonts w:ascii="Arial" w:cs="Arial" w:eastAsia="Arial" w:hAnsi="Arial"/>
          <w:color w:val="000000"/>
          <w:sz w:val="20"/>
          <w:szCs w:val="20"/>
        </w:rPr>
        <w:t xml:space="preserve">KZ 985 — foreign dividends and ongoing income</w:t>
      </w:r>
    </w:p>
    <w:p>
      <w:pPr>
        <w:pStyle w:val="ListParagraph"/>
        <w:numPr>
          <w:ilvl w:val="0"/>
          <w:numId w:val="2"/>
        </w:numPr>
        <w:spacing w:after="40" w:before="40"/>
      </w:pPr>
      <w:r>
        <w:rPr>
          <w:rFonts w:ascii="Arial" w:cs="Arial" w:eastAsia="Arial" w:hAnsi="Arial"/>
          <w:color w:val="000000"/>
          <w:sz w:val="20"/>
          <w:szCs w:val="20"/>
        </w:rPr>
        <w:t xml:space="preserve">KZ 994 — realised capital gains</w:t>
      </w:r>
    </w:p>
    <w:p>
      <w:pPr>
        <w:pStyle w:val="ListParagraph"/>
        <w:numPr>
          <w:ilvl w:val="0"/>
          <w:numId w:val="2"/>
        </w:numPr>
        <w:spacing w:after="40" w:before="40"/>
      </w:pPr>
      <w:r>
        <w:rPr>
          <w:rFonts w:ascii="Arial" w:cs="Arial" w:eastAsia="Arial" w:hAnsi="Arial"/>
          <w:color w:val="000000"/>
          <w:sz w:val="20"/>
          <w:szCs w:val="20"/>
        </w:rPr>
        <w:t xml:space="preserve">KZ 996 — realised losses (after cross-broker netting)</w:t>
      </w:r>
    </w:p>
    <w:p>
      <w:pPr>
        <w:pStyle w:val="ListParagraph"/>
        <w:numPr>
          <w:ilvl w:val="0"/>
          <w:numId w:val="2"/>
        </w:numPr>
        <w:spacing w:after="40" w:before="40"/>
      </w:pPr>
      <w:r>
        <w:rPr>
          <w:rFonts w:ascii="Arial" w:cs="Arial" w:eastAsia="Arial" w:hAnsi="Arial"/>
          <w:color w:val="000000"/>
          <w:sz w:val="20"/>
          <w:szCs w:val="20"/>
        </w:rPr>
        <w:t xml:space="preserve">KZ 998 — creditable foreign withholding tax</w:t>
      </w:r>
    </w:p>
    <w:p>
      <w:pPr>
        <w:pStyle w:val="ListParagraph"/>
        <w:numPr>
          <w:ilvl w:val="0"/>
          <w:numId w:val="2"/>
        </w:numPr>
        <w:spacing w:after="40" w:before="40"/>
      </w:pPr>
      <w:r>
        <w:rPr>
          <w:rFonts w:ascii="Arial" w:cs="Arial" w:eastAsia="Arial" w:hAnsi="Arial"/>
          <w:color w:val="000000"/>
          <w:sz w:val="20"/>
          <w:szCs w:val="20"/>
        </w:rPr>
        <w:t xml:space="preserve">PDF tax report export for own records</w:t>
      </w:r>
    </w:p>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2. System Architecture</w:t>
      </w:r>
    </w:p>
    <w:p>
      <w:pPr>
        <w:spacing w:after="120" w:before="80"/>
      </w:pPr>
      <w:r>
        <w:rPr>
          <w:rFonts w:ascii="Arial" w:cs="Arial" w:eastAsia="Arial" w:hAnsi="Arial"/>
          <w:color w:val="000000"/>
          <w:sz w:val="20"/>
          <w:szCs w:val="20"/>
        </w:rPr>
        <w:t xml:space="preserve">KestKlar is built as a monolith-first Next.js application. The architecture is deliberately simple at launch — no microservices, no separate worker fleet. As volume grows, the PDF processing pipeline and ÖEKB fetcher are the two components most likely to be extracted into standalone services.</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Layer</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Technology / Service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Frontend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Next.js 15 (App Router), React 19, TypeScript 5</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Styling</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Tailwind CSS 3, custom design system (midday-inspired)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API layer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tRPC v11 — end-to-end type-safe, co-located with Next.js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Auth</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Clerk — hosted auth, session management, webhooks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Database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PostgreSQL via Neon (serverless, auto-scale)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ORM</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Prisma 5 — schema-first, migrations, type-safe queries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File storage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Vercel Blob — temp storage, deleted after parsing</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Background jobs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Trigger.dev — durable PDF processing + ÖEKB fetch queue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Email</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Loops.so — waitlist, transactional, sequences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Billing</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Stripe — one-time per-year payments, webhooks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Hosting</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Vercel — frontend + API routes, Edge middleware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Error tracking</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Sentry</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Analytics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PostHog (privacy-first, EU region)</w:t>
            </w:r>
          </w:p>
        </w:tc>
      </w:tr>
    </w:tbl>
    <w:p>
      <w:pPr>
        <w:spacing w:after="120" w:before="0"/>
      </w:pPr>
      <w:r>
        <w:t xml:space="preserve"/>
      </w:r>
    </w:p>
    <w:p>
      <w:pPr>
        <w:pStyle w:val="Heading2"/>
        <w:spacing w:after="120" w:before="320"/>
      </w:pPr>
      <w:r>
        <w:rPr>
          <w:rFonts w:ascii="Arial" w:cs="Arial" w:eastAsia="Arial" w:hAnsi="Arial"/>
          <w:b/>
          <w:bCs/>
          <w:color w:val="000000"/>
          <w:sz w:val="26"/>
          <w:szCs w:val="26"/>
        </w:rPr>
        <w:t xml:space="preserve">2.1 High-Level Data Flow</w:t>
      </w:r>
    </w:p>
    <w:p>
      <w:pPr>
        <w:spacing w:after="120" w:before="80"/>
      </w:pPr>
      <w:r>
        <w:rPr>
          <w:rFonts w:ascii="Arial" w:cs="Arial" w:eastAsia="Arial" w:hAnsi="Arial"/>
          <w:color w:val="000000"/>
          <w:sz w:val="20"/>
          <w:szCs w:val="20"/>
        </w:rPr>
        <w:t xml:space="preserve">The core processing pipeline runs in six stages:</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Stage</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1. Ingest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User uploads PDF or CSV. File stored in Vercel Blob with TTL = 24h. Upload job enqueued in Trigger.dev.</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2. Parse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Per-broker parser extracts raw transactions into a normalised TransactionRecord schema. File deleted from Blob immediately after successful parse.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3. ÖEKB Fetch</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For each unique ISIN held in the tax year, query the ÖEKB fund database for ausschüttungsgleiche Erträge per unit and reporting date. Results cached in Postgres (OekbFundData table).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4. FX Conversion</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All non-EUR amounts converted to EUR using ECB reference rates from the Frankfurter API (ecb.frankfurter.app), fetched daily and cached.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5. Tax Engine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Pure TypeScript calculation module: weighted average cost basis, deemed distribution amounts, cross-broker loss netting, withholding tax credit.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6. E1kv Output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Calculated values mapped to E1kv Kennzahlen and stored in TaxCalculationResult. PDF export generated via @react-pdf/renderer on demand.</w:t>
            </w:r>
          </w:p>
        </w:tc>
      </w:tr>
    </w:tbl>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3. Data Models</w:t>
      </w:r>
    </w:p>
    <w:p>
      <w:pPr>
        <w:spacing w:after="120" w:before="80"/>
      </w:pPr>
      <w:r>
        <w:rPr>
          <w:rFonts w:ascii="Arial" w:cs="Arial" w:eastAsia="Arial" w:hAnsi="Arial"/>
          <w:color w:val="000000"/>
          <w:sz w:val="20"/>
          <w:szCs w:val="20"/>
        </w:rPr>
        <w:t xml:space="preserve">All models are defined in Prisma schema. Key design decisions: raw transaction data is stored normalised (never raw PDF text); ÖEKB data is cached but source-of-truth is always the live ÖEKB database; tax calculation results are stored per (userId, taxYear) and can be recalculated on demand.</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User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Type / Notes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id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cuid — Clerk user ID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email</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string — from Clerk</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plan</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enum: FREE | STANDARD | PRO</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stripeCustomerId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string | null</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createdAt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DateTime</w:t>
            </w:r>
          </w:p>
        </w:tc>
      </w:tr>
    </w:tbl>
    <w:p>
      <w:pPr>
        <w:spacing w:after="120" w:before="0"/>
      </w:pPr>
      <w:r>
        <w:t xml:space="preserve"/>
      </w:r>
    </w:p>
    <w:p>
      <w:pPr>
        <w:pStyle w:val="Heading3"/>
        <w:spacing w:after="80" w:before="240"/>
      </w:pPr>
      <w:r>
        <w:rPr>
          <w:rFonts w:ascii="Arial" w:cs="Arial" w:eastAsia="Arial" w:hAnsi="Arial"/>
          <w:b/>
          <w:bCs/>
          <w:color w:val="1A1A1A"/>
          <w:sz w:val="22"/>
          <w:szCs w:val="22"/>
        </w:rPr>
        <w:t xml:space="preserve">BrokerUpload</w:t>
      </w:r>
    </w:p>
    <w:p>
      <w:pPr>
        <w:spacing w:after="120" w:before="80"/>
      </w:pPr>
      <w:r>
        <w:rPr>
          <w:rFonts w:ascii="Arial" w:cs="Arial" w:eastAsia="Arial" w:hAnsi="Arial"/>
          <w:color w:val="000000"/>
          <w:sz w:val="20"/>
          <w:szCs w:val="20"/>
        </w:rPr>
        <w:t xml:space="preserve">Represents a single uploaded file from a broker.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Type / Notes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id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cuid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userId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FK → User</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broker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enum: IBKR | SCALABLE | DEGIRO | TRADE_REPUBLIC | MANUAL</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taxYear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Int — e.g. 2024</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filename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string — original filename for display</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status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enum: PENDING | PARSING | DONE | FAILED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parsedAt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DateTime | null</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errorMessage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string | null</w:t>
            </w:r>
          </w:p>
        </w:tc>
      </w:tr>
    </w:tbl>
    <w:p>
      <w:pPr>
        <w:spacing w:after="120" w:before="0"/>
      </w:pPr>
      <w:r>
        <w:t xml:space="preserve"/>
      </w:r>
    </w:p>
    <w:p>
      <w:pPr>
        <w:pStyle w:val="Heading3"/>
        <w:spacing w:after="80" w:before="240"/>
      </w:pPr>
      <w:r>
        <w:rPr>
          <w:rFonts w:ascii="Arial" w:cs="Arial" w:eastAsia="Arial" w:hAnsi="Arial"/>
          <w:b/>
          <w:bCs/>
          <w:color w:val="1A1A1A"/>
          <w:sz w:val="22"/>
          <w:szCs w:val="22"/>
        </w:rPr>
        <w:t xml:space="preserve">Transaction</w:t>
      </w:r>
    </w:p>
    <w:p>
      <w:pPr>
        <w:spacing w:after="120" w:before="80"/>
      </w:pPr>
      <w:r>
        <w:rPr>
          <w:rFonts w:ascii="Arial" w:cs="Arial" w:eastAsia="Arial" w:hAnsi="Arial"/>
          <w:color w:val="000000"/>
          <w:sz w:val="20"/>
          <w:szCs w:val="20"/>
        </w:rPr>
        <w:t xml:space="preserve">Normalised transaction record extracted from a broker upload.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Type / Notes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id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cuid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uploadId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FK → BrokerUpload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userId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FK → User</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type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enum: DIVIDEND | CAPITAL_GAIN | CAPITAL_LOSS | INTEREST | DEEMED_DISTRIBUTION | WITHHOLDING_TAX</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isin</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string | null — null for cash interest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date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DateTime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quantity</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null — units bought/sold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priceEur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null — price per unit in EUR</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grossAmountEur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gross amount in EUR</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withholdingTaxEur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foreign tax deducted (default 0)</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currency</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string — original currency code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fxRate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EUR/original currency rate used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fxDate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DateTime — date of ECB rate used</w:t>
            </w:r>
          </w:p>
        </w:tc>
      </w:tr>
    </w:tbl>
    <w:p>
      <w:pPr>
        <w:spacing w:after="120" w:before="0"/>
      </w:pPr>
      <w:r>
        <w:t xml:space="preserve"/>
      </w:r>
    </w:p>
    <w:p>
      <w:pPr>
        <w:pStyle w:val="Heading3"/>
        <w:spacing w:after="80" w:before="240"/>
      </w:pPr>
      <w:r>
        <w:rPr>
          <w:rFonts w:ascii="Arial" w:cs="Arial" w:eastAsia="Arial" w:hAnsi="Arial"/>
          <w:b/>
          <w:bCs/>
          <w:color w:val="1A1A1A"/>
          <w:sz w:val="22"/>
          <w:szCs w:val="22"/>
        </w:rPr>
        <w:t xml:space="preserve">Position</w:t>
      </w:r>
    </w:p>
    <w:p>
      <w:pPr>
        <w:spacing w:after="120" w:before="80"/>
      </w:pPr>
      <w:r>
        <w:rPr>
          <w:rFonts w:ascii="Arial" w:cs="Arial" w:eastAsia="Arial" w:hAnsi="Arial"/>
          <w:color w:val="000000"/>
          <w:sz w:val="20"/>
          <w:szCs w:val="20"/>
        </w:rPr>
        <w:t xml:space="preserve">Running weighted average cost basis per (userId, isin). Recalculated on each upload parse.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Type / Notes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id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cuid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userId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FK → User</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isin</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string</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taxYear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Int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quantityHeld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units held at end of tax year</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avgCostBasisEur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weighted average cost per unit in EUR</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lastUpdated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DateTime</w:t>
            </w:r>
          </w:p>
        </w:tc>
      </w:tr>
    </w:tbl>
    <w:p>
      <w:pPr>
        <w:spacing w:after="120" w:before="0"/>
      </w:pPr>
      <w:r>
        <w:t xml:space="preserve"/>
      </w:r>
    </w:p>
    <w:p>
      <w:pPr>
        <w:pStyle w:val="Heading3"/>
        <w:spacing w:after="80" w:before="240"/>
      </w:pPr>
      <w:r>
        <w:rPr>
          <w:rFonts w:ascii="Arial" w:cs="Arial" w:eastAsia="Arial" w:hAnsi="Arial"/>
          <w:b/>
          <w:bCs/>
          <w:color w:val="1A1A1A"/>
          <w:sz w:val="22"/>
          <w:szCs w:val="22"/>
        </w:rPr>
        <w:t xml:space="preserve">OekbFundData</w:t>
      </w:r>
    </w:p>
    <w:p>
      <w:pPr>
        <w:spacing w:after="120" w:before="80"/>
      </w:pPr>
      <w:r>
        <w:rPr>
          <w:rFonts w:ascii="Arial" w:cs="Arial" w:eastAsia="Arial" w:hAnsi="Arial"/>
          <w:color w:val="000000"/>
          <w:sz w:val="20"/>
          <w:szCs w:val="20"/>
        </w:rPr>
        <w:t xml:space="preserve">Cached ÖEKB deemed distribution data per fund per year. Source of truth is always my.oekb.at — this is a read-through cache.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Type / Notes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id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cuid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isin</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string</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taxYear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Int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reportingDate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DateTime — ÖEKB Stichtag for this fund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deemedDistributionPerUnit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ausschüttungsgleiche Erträge per unit, in fund currency</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currency</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string — fund currency (EUR, USD, GBP etc.)</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fxRateOnReportingDate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EUR/currency rate on reportingDate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fetchedAt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DateTime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source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string — ÖEKB record URL</w:t>
            </w:r>
          </w:p>
        </w:tc>
      </w:tr>
    </w:tbl>
    <w:p>
      <w:pPr>
        <w:spacing w:after="120" w:before="0"/>
      </w:pPr>
      <w:r>
        <w:t xml:space="preserve"/>
      </w:r>
    </w:p>
    <w:p>
      <w:pPr>
        <w:pStyle w:val="Heading3"/>
        <w:spacing w:after="80" w:before="240"/>
      </w:pPr>
      <w:r>
        <w:rPr>
          <w:rFonts w:ascii="Arial" w:cs="Arial" w:eastAsia="Arial" w:hAnsi="Arial"/>
          <w:b/>
          <w:bCs/>
          <w:color w:val="1A1A1A"/>
          <w:sz w:val="22"/>
          <w:szCs w:val="22"/>
        </w:rPr>
        <w:t xml:space="preserve">TaxCalculationResult</w:t>
      </w:r>
    </w:p>
    <w:p>
      <w:pPr>
        <w:spacing w:after="120" w:before="80"/>
      </w:pPr>
      <w:r>
        <w:rPr>
          <w:rFonts w:ascii="Arial" w:cs="Arial" w:eastAsia="Arial" w:hAnsi="Arial"/>
          <w:color w:val="000000"/>
          <w:sz w:val="20"/>
          <w:szCs w:val="20"/>
        </w:rPr>
        <w:t xml:space="preserve">Final E1kv field values per (userId, taxYear). Regenerated on each recalculation.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Type / Notes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id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cuid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userId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FK → User</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taxYear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Int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kz937</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ausschüttungsgleiche Erträge, ausländisches Depot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kz936</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ausschüttungsgleiche Erträge, inländisches Depot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kz985</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ausländische Dividenden</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kz994</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realisierte Kursgewinne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kz996</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realisierte Verluste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kz998</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anrechenbare Quellensteuer</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grossKest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27.5% × (kz985 + kz994 + kz936 + kz937)</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netKest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Decimal — grossKest − kz998</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calculatedAt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DateTime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warnings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Json[] — array of edge case warnings shown to user</w:t>
            </w:r>
          </w:p>
        </w:tc>
      </w:tr>
    </w:tbl>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4. PDF Parsing Pipeline</w:t>
      </w:r>
    </w:p>
    <w:p>
      <w:pPr>
        <w:spacing w:after="120" w:before="80"/>
      </w:pPr>
      <w:r>
        <w:rPr>
          <w:rFonts w:ascii="Arial" w:cs="Arial" w:eastAsia="Arial" w:hAnsi="Arial"/>
          <w:color w:val="000000"/>
          <w:sz w:val="20"/>
          <w:szCs w:val="20"/>
        </w:rPr>
        <w:t xml:space="preserve">Each broker has a dedicated parser that produces an array of Transaction records from a raw file. Parsers are stateless TypeScript modules — they take a file buffer and return structured data or throw a typed error.</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Parser strategy per broker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Broker</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Input format &amp; approach</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Interactive Brokers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Prefer CSV Activity Statement (Flex Query) — well-structured, machine-readable. Parse with papaparse. Fall back to PDF text extraction via pdf-parse if user uploads PDF. Key sections: Trades, Dividends, Withholding Tax, Interest.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Scalable Capital</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Jahressteuerbescheinigung PDF — structured layout with labelled sections. Extract text with pdf-parse, then regex-match known section headers and value patterns. Cross-check totals.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DEGIRO</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Annual Report PDF — tabular layout. Extract with pdfjs-dist for positional text extraction (needed to reconstruct table rows from absolute coordinates). Parse transaction type from first column.</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Trade Republic</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Steuerreport PDF — structured similar to Scalable. pdf-parse + regex. Note: only needed for tax years before April 2025 and partial 2025.</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Manual / fallback</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CSV import with defined column mapping schema. User maps their broker's columns to KestKlar's Transaction fields via UI wizard.</w:t>
            </w:r>
          </w:p>
        </w:tc>
      </w:tr>
    </w:tbl>
    <w:p>
      <w:pPr>
        <w:spacing w:after="120" w:before="0"/>
      </w:pPr>
      <w:r>
        <w:t xml:space="preserve"/>
      </w:r>
    </w:p>
    <w:p>
      <w:pPr>
        <w:pStyle w:val="Heading3"/>
        <w:spacing w:after="80" w:before="240"/>
      </w:pPr>
      <w:r>
        <w:rPr>
          <w:rFonts w:ascii="Arial" w:cs="Arial" w:eastAsia="Arial" w:hAnsi="Arial"/>
          <w:b/>
          <w:bCs/>
          <w:color w:val="1A1A1A"/>
          <w:sz w:val="22"/>
          <w:szCs w:val="22"/>
        </w:rPr>
        <w:t xml:space="preserve">Parsing libraries</w:t>
      </w:r>
    </w:p>
    <w:p>
      <w:pPr>
        <w:pStyle w:val="ListParagraph"/>
        <w:numPr>
          <w:ilvl w:val="0"/>
          <w:numId w:val="2"/>
        </w:numPr>
        <w:spacing w:after="40" w:before="40"/>
      </w:pPr>
      <w:r>
        <w:rPr>
          <w:rFonts w:ascii="Arial" w:cs="Arial" w:eastAsia="Arial" w:hAnsi="Arial"/>
          <w:color w:val="000000"/>
          <w:sz w:val="20"/>
          <w:szCs w:val="20"/>
        </w:rPr>
        <w:t xml:space="preserve">pdf-parse — text extraction for structured PDFs (Scalable, Trade Republic)</w:t>
      </w:r>
    </w:p>
    <w:p>
      <w:pPr>
        <w:pStyle w:val="ListParagraph"/>
        <w:numPr>
          <w:ilvl w:val="0"/>
          <w:numId w:val="2"/>
        </w:numPr>
        <w:spacing w:after="40" w:before="40"/>
      </w:pPr>
      <w:r>
        <w:rPr>
          <w:rFonts w:ascii="Arial" w:cs="Arial" w:eastAsia="Arial" w:hAnsi="Arial"/>
          <w:color w:val="000000"/>
          <w:sz w:val="20"/>
          <w:szCs w:val="20"/>
        </w:rPr>
        <w:t xml:space="preserve">pdfjs-dist — positional text extraction for table-layout PDFs (DEGIRO)</w:t>
      </w:r>
    </w:p>
    <w:p>
      <w:pPr>
        <w:pStyle w:val="ListParagraph"/>
        <w:numPr>
          <w:ilvl w:val="0"/>
          <w:numId w:val="2"/>
        </w:numPr>
        <w:spacing w:after="40" w:before="40"/>
      </w:pPr>
      <w:r>
        <w:rPr>
          <w:rFonts w:ascii="Arial" w:cs="Arial" w:eastAsia="Arial" w:hAnsi="Arial"/>
          <w:color w:val="000000"/>
          <w:sz w:val="20"/>
          <w:szCs w:val="20"/>
        </w:rPr>
        <w:t xml:space="preserve">papaparse — robust CSV parsing with type inference (IBKR Flex Query)</w:t>
      </w:r>
    </w:p>
    <w:p>
      <w:pPr>
        <w:pStyle w:val="ListParagraph"/>
        <w:numPr>
          <w:ilvl w:val="0"/>
          <w:numId w:val="2"/>
        </w:numPr>
        <w:spacing w:after="40" w:before="40"/>
      </w:pPr>
      <w:r>
        <w:rPr>
          <w:rFonts w:ascii="Arial" w:cs="Arial" w:eastAsia="Arial" w:hAnsi="Arial"/>
          <w:color w:val="000000"/>
          <w:sz w:val="20"/>
          <w:szCs w:val="20"/>
        </w:rPr>
        <w:t xml:space="preserve">zod — schema validation on all parsed output before DB write</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Error handling</w:t>
      </w:r>
    </w:p>
    <w:p>
      <w:pPr>
        <w:pStyle w:val="ListParagraph"/>
        <w:numPr>
          <w:ilvl w:val="0"/>
          <w:numId w:val="2"/>
        </w:numPr>
        <w:spacing w:after="40" w:before="40"/>
      </w:pPr>
      <w:r>
        <w:rPr>
          <w:rFonts w:ascii="Arial" w:cs="Arial" w:eastAsia="Arial" w:hAnsi="Arial"/>
          <w:color w:val="000000"/>
          <w:sz w:val="20"/>
          <w:szCs w:val="20"/>
        </w:rPr>
        <w:t xml:space="preserve">ParseError typed union: UNSUPPORTED_FORMAT | MISSING_SECTION | AMBIGUOUS_DATA | WRONG_TAX_YEAR</w:t>
      </w:r>
    </w:p>
    <w:p>
      <w:pPr>
        <w:pStyle w:val="ListParagraph"/>
        <w:numPr>
          <w:ilvl w:val="0"/>
          <w:numId w:val="2"/>
        </w:numPr>
        <w:spacing w:after="40" w:before="40"/>
      </w:pPr>
      <w:r>
        <w:rPr>
          <w:rFonts w:ascii="Arial" w:cs="Arial" w:eastAsia="Arial" w:hAnsi="Arial"/>
          <w:color w:val="000000"/>
          <w:sz w:val="20"/>
          <w:szCs w:val="20"/>
        </w:rPr>
        <w:t xml:space="preserve">Partial success allowed — if 3 of 4 sections parse successfully, proceed and surface warnings to user</w:t>
      </w:r>
    </w:p>
    <w:p>
      <w:pPr>
        <w:pStyle w:val="ListParagraph"/>
        <w:numPr>
          <w:ilvl w:val="0"/>
          <w:numId w:val="2"/>
        </w:numPr>
        <w:spacing w:after="40" w:before="40"/>
      </w:pPr>
      <w:r>
        <w:rPr>
          <w:rFonts w:ascii="Arial" w:cs="Arial" w:eastAsia="Arial" w:hAnsi="Arial"/>
          <w:color w:val="000000"/>
          <w:sz w:val="20"/>
          <w:szCs w:val="20"/>
        </w:rPr>
        <w:t xml:space="preserve">All parser errors stored in BrokerUpload.errorMessage for display in UI</w:t>
      </w:r>
    </w:p>
    <w:p>
      <w:pPr>
        <w:pStyle w:val="ListParagraph"/>
        <w:numPr>
          <w:ilvl w:val="0"/>
          <w:numId w:val="2"/>
        </w:numPr>
        <w:spacing w:after="40" w:before="40"/>
      </w:pPr>
      <w:r>
        <w:rPr>
          <w:rFonts w:ascii="Arial" w:cs="Arial" w:eastAsia="Arial" w:hAnsi="Arial"/>
          <w:color w:val="000000"/>
          <w:sz w:val="20"/>
          <w:szCs w:val="20"/>
        </w:rPr>
        <w:t xml:space="preserve">LLM fallback (Claude API) reserved for v2 — too slow and costly for v1 core path</w:t>
      </w:r>
    </w:p>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5. ÖEKB Integration</w:t>
      </w:r>
    </w:p>
    <w:p>
      <w:pPr>
        <w:spacing w:after="120" w:before="80"/>
      </w:pPr>
      <w:r>
        <w:rPr>
          <w:rFonts w:ascii="Arial" w:cs="Arial" w:eastAsia="Arial" w:hAnsi="Arial"/>
          <w:color w:val="000000"/>
          <w:sz w:val="20"/>
          <w:szCs w:val="20"/>
        </w:rPr>
        <w:t xml:space="preserve">This is KestKlar's primary technical moat. No competitor currently automates this step. The ÖEKB (Österreichische Kontrollbank) publishes annual tax data for all reporting funds at my.oekb.at.</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Data needed per fund per year</w:t>
      </w:r>
    </w:p>
    <w:p>
      <w:pPr>
        <w:pStyle w:val="ListParagraph"/>
        <w:numPr>
          <w:ilvl w:val="0"/>
          <w:numId w:val="2"/>
        </w:numPr>
        <w:spacing w:after="40" w:before="40"/>
      </w:pPr>
      <w:r>
        <w:rPr>
          <w:rFonts w:ascii="Arial" w:cs="Arial" w:eastAsia="Arial" w:hAnsi="Arial"/>
          <w:color w:val="000000"/>
          <w:sz w:val="20"/>
          <w:szCs w:val="20"/>
        </w:rPr>
        <w:t xml:space="preserve">Ausschüttungsgleiche Erträge per unit (in fund currency)</w:t>
      </w:r>
    </w:p>
    <w:p>
      <w:pPr>
        <w:pStyle w:val="ListParagraph"/>
        <w:numPr>
          <w:ilvl w:val="0"/>
          <w:numId w:val="2"/>
        </w:numPr>
        <w:spacing w:after="40" w:before="40"/>
      </w:pPr>
      <w:r>
        <w:rPr>
          <w:rFonts w:ascii="Arial" w:cs="Arial" w:eastAsia="Arial" w:hAnsi="Arial"/>
          <w:color w:val="000000"/>
          <w:sz w:val="20"/>
          <w:szCs w:val="20"/>
        </w:rPr>
        <w:t xml:space="preserve">Reporting date (Stichtag) — varies per fund, not always December 31</w:t>
      </w:r>
    </w:p>
    <w:p>
      <w:pPr>
        <w:pStyle w:val="ListParagraph"/>
        <w:numPr>
          <w:ilvl w:val="0"/>
          <w:numId w:val="2"/>
        </w:numPr>
        <w:spacing w:after="40" w:before="40"/>
      </w:pPr>
      <w:r>
        <w:rPr>
          <w:rFonts w:ascii="Arial" w:cs="Arial" w:eastAsia="Arial" w:hAnsi="Arial"/>
          <w:color w:val="000000"/>
          <w:sz w:val="20"/>
          <w:szCs w:val="20"/>
        </w:rPr>
        <w:t xml:space="preserve">Fund currency</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Integration approach</w:t>
      </w:r>
    </w:p>
    <w:p>
      <w:pPr>
        <w:spacing w:after="120" w:before="80"/>
      </w:pPr>
      <w:r>
        <w:rPr>
          <w:rFonts w:ascii="Arial" w:cs="Arial" w:eastAsia="Arial" w:hAnsi="Arial"/>
          <w:color w:val="000000"/>
          <w:sz w:val="20"/>
          <w:szCs w:val="20"/>
        </w:rPr>
        <w:t xml:space="preserve">Phase 1 (MVP): </w:t>
      </w:r>
      <w:r>
        <w:rPr>
          <w:rFonts w:ascii="Arial" w:cs="Arial" w:eastAsia="Arial" w:hAnsi="Arial"/>
          <w:b/>
          <w:bCs/>
          <w:color w:val="000000"/>
          <w:sz w:val="20"/>
          <w:szCs w:val="20"/>
        </w:rPr>
        <w:t xml:space="preserve">Structured HTTP scraping. </w:t>
      </w:r>
      <w:r>
        <w:rPr>
          <w:rFonts w:ascii="Arial" w:cs="Arial" w:eastAsia="Arial" w:hAnsi="Arial"/>
          <w:color w:val="000000"/>
          <w:sz w:val="20"/>
          <w:szCs w:val="20"/>
        </w:rPr>
        <w:t xml:space="preserve">my.oekb.at has a public search endpoint that returns JSON for ISIN lookups. Reverse-engineer the API calls made by the browser, replicate them server-side with node-fetch. No Playwright needed if the API is REST-accessible (to be confirmed during implementation).</w:t>
      </w:r>
    </w:p>
    <w:p>
      <w:pPr>
        <w:spacing w:after="120" w:before="80"/>
      </w:pPr>
      <w:r>
        <w:rPr>
          <w:rFonts w:ascii="Arial" w:cs="Arial" w:eastAsia="Arial" w:hAnsi="Arial"/>
          <w:color w:val="000000"/>
          <w:sz w:val="20"/>
          <w:szCs w:val="20"/>
        </w:rPr>
        <w:t xml:space="preserve">Phase 2 (fallback): </w:t>
      </w:r>
      <w:r>
        <w:rPr>
          <w:rFonts w:ascii="Arial" w:cs="Arial" w:eastAsia="Arial" w:hAnsi="Arial"/>
          <w:b/>
          <w:bCs/>
          <w:color w:val="000000"/>
          <w:sz w:val="20"/>
          <w:szCs w:val="20"/>
        </w:rPr>
        <w:t xml:space="preserve">Playwright scraping </w:t>
      </w:r>
      <w:r>
        <w:rPr>
          <w:rFonts w:ascii="Arial" w:cs="Arial" w:eastAsia="Arial" w:hAnsi="Arial"/>
          <w:color w:val="000000"/>
          <w:sz w:val="20"/>
          <w:szCs w:val="20"/>
        </w:rPr>
        <w:t xml:space="preserve">if the ÖEKB site requires JS rendering or session tokens. Run headless Chromium in a Trigger.dev background job. Cache aggressively — ÖEKB data for a given (ISIN, year) is immutable once published.</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Concern</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Mitigation</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Rate limiting</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Respect crawl-delay, add jitter between requests, run in background job not in request path</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Data immutability</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Cache (ISIN, taxYear) pairs permanently — data never changes after ÖEKB publishes it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Missing ISINs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If ISIN not found in ÖEKB, surface warning: 'Fund not a Meldefonds — 90% of gain rule applies'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Exchange rates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ECB daily reference rates via Frankfurter API (ecb.frankfurter.app) — free, reliable, official</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Legal</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Public data, no authentication required. Same data used by every Austrian tax advisor.</w:t>
            </w:r>
          </w:p>
        </w:tc>
      </w:tr>
    </w:tbl>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6. Tax Calculation Engine</w:t>
      </w:r>
    </w:p>
    <w:p>
      <w:pPr>
        <w:spacing w:after="120" w:before="80"/>
      </w:pPr>
      <w:r>
        <w:rPr>
          <w:rFonts w:ascii="Arial" w:cs="Arial" w:eastAsia="Arial" w:hAnsi="Arial"/>
          <w:color w:val="000000"/>
          <w:sz w:val="20"/>
          <w:szCs w:val="20"/>
        </w:rPr>
        <w:t xml:space="preserve">The calculation engine is a pure TypeScript module with no side effects. All inputs are plain data objects; outputs are plain data objects. Fully unit-testable. This is the highest-risk component for correctness — test coverage target: 100% of business logic branches.</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Module: Position Tracker (weighted average cost basis)</w:t>
      </w:r>
    </w:p>
    <w:p>
      <w:pPr>
        <w:spacing w:after="120" w:before="80"/>
      </w:pPr>
      <w:r>
        <w:rPr>
          <w:rFonts w:ascii="Arial" w:cs="Arial" w:eastAsia="Arial" w:hAnsi="Arial"/>
          <w:color w:val="000000"/>
          <w:sz w:val="20"/>
          <w:szCs w:val="20"/>
        </w:rPr>
        <w:t xml:space="preserve">Implements the gleitender Durchschnittspreis method for Neubestand (securities acquired from 1 April 2012 onwards).</w:t>
      </w:r>
    </w:p>
    <w:p>
      <w:pPr>
        <w:spacing w:after="40" w:before="40"/>
        <w:ind w:left="360"/>
      </w:pPr>
      <w:r>
        <w:rPr>
          <w:rFonts w:ascii="Courier New" w:cs="Courier New" w:eastAsia="Courier New" w:hAnsi="Courier New"/>
          <w:color w:val="444444"/>
          <w:sz w:val="18"/>
          <w:szCs w:val="18"/>
        </w:rPr>
        <w:t xml:space="preserve">function updatePosition(</w:t>
      </w:r>
    </w:p>
    <w:p>
      <w:pPr>
        <w:spacing w:after="40" w:before="40"/>
        <w:ind w:left="360"/>
      </w:pPr>
      <w:r>
        <w:rPr>
          <w:rFonts w:ascii="Courier New" w:cs="Courier New" w:eastAsia="Courier New" w:hAnsi="Courier New"/>
          <w:color w:val="444444"/>
          <w:sz w:val="18"/>
          <w:szCs w:val="18"/>
        </w:rPr>
        <w:t xml:space="preserve">  current: Position,</w:t>
      </w:r>
    </w:p>
    <w:p>
      <w:pPr>
        <w:spacing w:after="40" w:before="40"/>
        <w:ind w:left="360"/>
      </w:pPr>
      <w:r>
        <w:rPr>
          <w:rFonts w:ascii="Courier New" w:cs="Courier New" w:eastAsia="Courier New" w:hAnsi="Courier New"/>
          <w:color w:val="444444"/>
          <w:sz w:val="18"/>
          <w:szCs w:val="18"/>
        </w:rPr>
        <w:t xml:space="preserve">  trade: { type: BUY | SELL, quantity: Decimal, priceEur: Decimal }</w:t>
      </w:r>
    </w:p>
    <w:p>
      <w:pPr>
        <w:spacing w:after="40" w:before="40"/>
        <w:ind w:left="360"/>
      </w:pPr>
      <w:r>
        <w:rPr>
          <w:rFonts w:ascii="Courier New" w:cs="Courier New" w:eastAsia="Courier New" w:hAnsi="Courier New"/>
          <w:color w:val="444444"/>
          <w:sz w:val="18"/>
          <w:szCs w:val="18"/>
        </w:rPr>
        <w:t xml:space="preserve">): Position</w:t>
      </w:r>
    </w:p>
    <w:p>
      <w:pPr>
        <w:spacing w:after="120" w:before="0"/>
      </w:pPr>
      <w:r>
        <w:t xml:space="preserve"/>
      </w:r>
    </w:p>
    <w:p>
      <w:pPr>
        <w:pStyle w:val="ListParagraph"/>
        <w:numPr>
          <w:ilvl w:val="0"/>
          <w:numId w:val="2"/>
        </w:numPr>
        <w:spacing w:after="40" w:before="40"/>
      </w:pPr>
      <w:r>
        <w:rPr>
          <w:rFonts w:ascii="Arial" w:cs="Arial" w:eastAsia="Arial" w:hAnsi="Arial"/>
          <w:color w:val="000000"/>
          <w:sz w:val="20"/>
          <w:szCs w:val="20"/>
        </w:rPr>
        <w:t xml:space="preserve">BUY: new avgCost = (currentQty × currentAvg + tradeQty × tradePrice) / (currentQty + tradeQty)</w:t>
      </w:r>
    </w:p>
    <w:p>
      <w:pPr>
        <w:pStyle w:val="ListParagraph"/>
        <w:numPr>
          <w:ilvl w:val="0"/>
          <w:numId w:val="2"/>
        </w:numPr>
        <w:spacing w:after="40" w:before="40"/>
      </w:pPr>
      <w:r>
        <w:rPr>
          <w:rFonts w:ascii="Arial" w:cs="Arial" w:eastAsia="Arial" w:hAnsi="Arial"/>
          <w:color w:val="000000"/>
          <w:sz w:val="20"/>
          <w:szCs w:val="20"/>
        </w:rPr>
        <w:t xml:space="preserve">SELL: realised gain = qty × (salePrice − avgCost); avgCost unchanged</w:t>
      </w:r>
    </w:p>
    <w:p>
      <w:pPr>
        <w:pStyle w:val="ListParagraph"/>
        <w:numPr>
          <w:ilvl w:val="0"/>
          <w:numId w:val="2"/>
        </w:numPr>
        <w:spacing w:after="40" w:before="40"/>
      </w:pPr>
      <w:r>
        <w:rPr>
          <w:rFonts w:ascii="Arial" w:cs="Arial" w:eastAsia="Arial" w:hAnsi="Arial"/>
          <w:color w:val="000000"/>
          <w:sz w:val="20"/>
          <w:szCs w:val="20"/>
        </w:rPr>
        <w:t xml:space="preserve">Positions tracked per (userId, isin, taxYear) — reset each January 1 but carry forward quantity and avgCost</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Module: Deemed Distribution Calculator</w:t>
      </w:r>
    </w:p>
    <w:p>
      <w:pPr>
        <w:spacing w:after="40" w:before="40"/>
        <w:ind w:left="360"/>
      </w:pPr>
      <w:r>
        <w:rPr>
          <w:rFonts w:ascii="Courier New" w:cs="Courier New" w:eastAsia="Courier New" w:hAnsi="Courier New"/>
          <w:color w:val="444444"/>
          <w:sz w:val="18"/>
          <w:szCs w:val="18"/>
        </w:rPr>
        <w:t xml:space="preserve">function calcDeemedDistribution(</w:t>
      </w:r>
    </w:p>
    <w:p>
      <w:pPr>
        <w:spacing w:after="40" w:before="40"/>
        <w:ind w:left="360"/>
      </w:pPr>
      <w:r>
        <w:rPr>
          <w:rFonts w:ascii="Courier New" w:cs="Courier New" w:eastAsia="Courier New" w:hAnsi="Courier New"/>
          <w:color w:val="444444"/>
          <w:sz w:val="18"/>
          <w:szCs w:val="18"/>
        </w:rPr>
        <w:t xml:space="preserve">  position: Position,  // quantity held on ÖEKB reportingDate</w:t>
      </w:r>
    </w:p>
    <w:p>
      <w:pPr>
        <w:spacing w:after="40" w:before="40"/>
        <w:ind w:left="360"/>
      </w:pPr>
      <w:r>
        <w:rPr>
          <w:rFonts w:ascii="Courier New" w:cs="Courier New" w:eastAsia="Courier New" w:hAnsi="Courier New"/>
          <w:color w:val="444444"/>
          <w:sz w:val="18"/>
          <w:szCs w:val="18"/>
        </w:rPr>
        <w:t xml:space="preserve">  oekb: OekbFundData   // perUnit amount + currency + fxRate</w:t>
      </w:r>
    </w:p>
    <w:p>
      <w:pPr>
        <w:spacing w:after="40" w:before="40"/>
        <w:ind w:left="360"/>
      </w:pPr>
      <w:r>
        <w:rPr>
          <w:rFonts w:ascii="Courier New" w:cs="Courier New" w:eastAsia="Courier New" w:hAnsi="Courier New"/>
          <w:color w:val="444444"/>
          <w:sz w:val="18"/>
          <w:szCs w:val="18"/>
        </w:rPr>
        <w:t xml:space="preserve">): Decimal            // EUR amount for E1kv</w:t>
      </w:r>
    </w:p>
    <w:p>
      <w:pPr>
        <w:spacing w:after="120" w:before="0"/>
      </w:pPr>
      <w:r>
        <w:t xml:space="preserve"/>
      </w:r>
    </w:p>
    <w:p>
      <w:pPr>
        <w:pStyle w:val="ListParagraph"/>
        <w:numPr>
          <w:ilvl w:val="0"/>
          <w:numId w:val="2"/>
        </w:numPr>
        <w:spacing w:after="40" w:before="40"/>
      </w:pPr>
      <w:r>
        <w:rPr>
          <w:rFonts w:ascii="Arial" w:cs="Arial" w:eastAsia="Arial" w:hAnsi="Arial"/>
          <w:color w:val="000000"/>
          <w:sz w:val="20"/>
          <w:szCs w:val="20"/>
        </w:rPr>
        <w:t xml:space="preserve">Quantity is snapshotted at ÖEKB reportingDate — NOT year-end quantity</w:t>
      </w:r>
    </w:p>
    <w:p>
      <w:pPr>
        <w:pStyle w:val="ListParagraph"/>
        <w:numPr>
          <w:ilvl w:val="0"/>
          <w:numId w:val="2"/>
        </w:numPr>
        <w:spacing w:after="40" w:before="40"/>
      </w:pPr>
      <w:r>
        <w:rPr>
          <w:rFonts w:ascii="Arial" w:cs="Arial" w:eastAsia="Arial" w:hAnsi="Arial"/>
          <w:color w:val="000000"/>
          <w:sz w:val="20"/>
          <w:szCs w:val="20"/>
        </w:rPr>
        <w:t xml:space="preserve">Amount = oekb.deemedDistributionPerUnit × quantityOnReportingDate × oekb.fxRateOnReportingDate</w:t>
      </w:r>
    </w:p>
    <w:p>
      <w:pPr>
        <w:pStyle w:val="ListParagraph"/>
        <w:numPr>
          <w:ilvl w:val="0"/>
          <w:numId w:val="2"/>
        </w:numPr>
        <w:spacing w:after="40" w:before="40"/>
      </w:pPr>
      <w:r>
        <w:rPr>
          <w:rFonts w:ascii="Arial" w:cs="Arial" w:eastAsia="Arial" w:hAnsi="Arial"/>
          <w:color w:val="000000"/>
          <w:sz w:val="20"/>
          <w:szCs w:val="20"/>
        </w:rPr>
        <w:t xml:space="preserve">Result goes to KZ 937 (foreign depot) or KZ 936 (Austrian depot)</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Module: Loss Netter</w:t>
      </w:r>
    </w:p>
    <w:p>
      <w:pPr>
        <w:spacing w:after="120" w:before="80"/>
      </w:pPr>
      <w:r>
        <w:rPr>
          <w:rFonts w:ascii="Arial" w:cs="Arial" w:eastAsia="Arial" w:hAnsi="Arial"/>
          <w:color w:val="000000"/>
          <w:sz w:val="20"/>
          <w:szCs w:val="20"/>
        </w:rPr>
        <w:t xml:space="preserve">Aggregates gains and losses across all BrokerUploads for a given (userId, taxYear).</w:t>
      </w:r>
    </w:p>
    <w:p>
      <w:pPr>
        <w:spacing w:after="40" w:before="40"/>
        <w:ind w:left="360"/>
      </w:pPr>
      <w:r>
        <w:rPr>
          <w:rFonts w:ascii="Courier New" w:cs="Courier New" w:eastAsia="Courier New" w:hAnsi="Courier New"/>
          <w:color w:val="444444"/>
          <w:sz w:val="18"/>
          <w:szCs w:val="18"/>
        </w:rPr>
        <w:t xml:space="preserve">function netLosses(transactions: Transaction[]): {</w:t>
      </w:r>
    </w:p>
    <w:p>
      <w:pPr>
        <w:spacing w:after="40" w:before="40"/>
        <w:ind w:left="360"/>
      </w:pPr>
      <w:r>
        <w:rPr>
          <w:rFonts w:ascii="Courier New" w:cs="Courier New" w:eastAsia="Courier New" w:hAnsi="Courier New"/>
          <w:color w:val="444444"/>
          <w:sz w:val="18"/>
          <w:szCs w:val="18"/>
        </w:rPr>
        <w:t xml:space="preserve">  totalGains: Decimal</w:t>
      </w:r>
    </w:p>
    <w:p>
      <w:pPr>
        <w:spacing w:after="40" w:before="40"/>
        <w:ind w:left="360"/>
      </w:pPr>
      <w:r>
        <w:rPr>
          <w:rFonts w:ascii="Courier New" w:cs="Courier New" w:eastAsia="Courier New" w:hAnsi="Courier New"/>
          <w:color w:val="444444"/>
          <w:sz w:val="18"/>
          <w:szCs w:val="18"/>
        </w:rPr>
        <w:t xml:space="preserve">  totalLosses: Decimal</w:t>
      </w:r>
    </w:p>
    <w:p>
      <w:pPr>
        <w:spacing w:after="40" w:before="40"/>
        <w:ind w:left="360"/>
      </w:pPr>
      <w:r>
        <w:rPr>
          <w:rFonts w:ascii="Courier New" w:cs="Courier New" w:eastAsia="Courier New" w:hAnsi="Courier New"/>
          <w:color w:val="444444"/>
          <w:sz w:val="18"/>
          <w:szCs w:val="18"/>
        </w:rPr>
        <w:t xml:space="preserve">  kz994: Decimal  // net gains (max 0 floor)</w:t>
      </w:r>
    </w:p>
    <w:p>
      <w:pPr>
        <w:spacing w:after="40" w:before="40"/>
        <w:ind w:left="360"/>
      </w:pPr>
      <w:r>
        <w:rPr>
          <w:rFonts w:ascii="Courier New" w:cs="Courier New" w:eastAsia="Courier New" w:hAnsi="Courier New"/>
          <w:color w:val="444444"/>
          <w:sz w:val="18"/>
          <w:szCs w:val="18"/>
        </w:rPr>
        <w:t xml:space="preserve">  kz996: Decimal  // net losses (max 0 floor, absolute value)</w:t>
      </w:r>
    </w:p>
    <w:p>
      <w:pPr>
        <w:spacing w:after="40" w:before="40"/>
        <w:ind w:left="360"/>
      </w:pPr>
      <w:r>
        <w:rPr>
          <w:rFonts w:ascii="Courier New" w:cs="Courier New" w:eastAsia="Courier New" w:hAnsi="Courier New"/>
          <w:color w:val="444444"/>
          <w:sz w:val="18"/>
          <w:szCs w:val="18"/>
        </w:rPr>
        <w:t xml:space="preserve">}</w:t>
      </w:r>
    </w:p>
    <w:p>
      <w:pPr>
        <w:spacing w:after="120" w:before="0"/>
      </w:pPr>
      <w:r>
        <w:t xml:space="preserve"/>
      </w:r>
    </w:p>
    <w:p>
      <w:pPr>
        <w:pStyle w:val="ListParagraph"/>
        <w:numPr>
          <w:ilvl w:val="0"/>
          <w:numId w:val="2"/>
        </w:numPr>
        <w:spacing w:after="40" w:before="40"/>
      </w:pPr>
      <w:r>
        <w:rPr>
          <w:rFonts w:ascii="Arial" w:cs="Arial" w:eastAsia="Arial" w:hAnsi="Arial"/>
          <w:color w:val="000000"/>
          <w:sz w:val="20"/>
          <w:szCs w:val="20"/>
        </w:rPr>
        <w:t xml:space="preserve">Gains and losses from equities, ETFs, and bonds can be offset against each other</w:t>
      </w:r>
    </w:p>
    <w:p>
      <w:pPr>
        <w:pStyle w:val="ListParagraph"/>
        <w:numPr>
          <w:ilvl w:val="0"/>
          <w:numId w:val="2"/>
        </w:numPr>
        <w:spacing w:after="40" w:before="40"/>
      </w:pPr>
      <w:r>
        <w:rPr>
          <w:rFonts w:ascii="Arial" w:cs="Arial" w:eastAsia="Arial" w:hAnsi="Arial"/>
          <w:color w:val="000000"/>
          <w:sz w:val="20"/>
          <w:szCs w:val="20"/>
        </w:rPr>
        <w:t xml:space="preserve">No carryforward to future tax years — pool resets January 1</w:t>
      </w:r>
    </w:p>
    <w:p>
      <w:pPr>
        <w:pStyle w:val="ListParagraph"/>
        <w:numPr>
          <w:ilvl w:val="0"/>
          <w:numId w:val="2"/>
        </w:numPr>
        <w:spacing w:after="40" w:before="40"/>
      </w:pPr>
      <w:r>
        <w:rPr>
          <w:rFonts w:ascii="Arial" w:cs="Arial" w:eastAsia="Arial" w:hAnsi="Arial"/>
          <w:color w:val="000000"/>
          <w:sz w:val="20"/>
          <w:szCs w:val="20"/>
        </w:rPr>
        <w:t xml:space="preserve">Dividends and deemed distributions are NOT offset against capital losses</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Module: Withholding Tax Calculator</w:t>
      </w:r>
    </w:p>
    <w:p>
      <w:pPr>
        <w:spacing w:after="40" w:before="40"/>
        <w:ind w:left="360"/>
      </w:pPr>
      <w:r>
        <w:rPr>
          <w:rFonts w:ascii="Courier New" w:cs="Courier New" w:eastAsia="Courier New" w:hAnsi="Courier New"/>
          <w:color w:val="444444"/>
          <w:sz w:val="18"/>
          <w:szCs w:val="18"/>
        </w:rPr>
        <w:t xml:space="preserve">function calcWithholdingTax(transactions: Transaction[]): Decimal</w:t>
      </w:r>
    </w:p>
    <w:p>
      <w:pPr>
        <w:spacing w:after="120" w:before="0"/>
      </w:pPr>
      <w:r>
        <w:t xml:space="preserve"/>
      </w:r>
    </w:p>
    <w:p>
      <w:pPr>
        <w:pStyle w:val="ListParagraph"/>
        <w:numPr>
          <w:ilvl w:val="0"/>
          <w:numId w:val="2"/>
        </w:numPr>
        <w:spacing w:after="40" w:before="40"/>
      </w:pPr>
      <w:r>
        <w:rPr>
          <w:rFonts w:ascii="Arial" w:cs="Arial" w:eastAsia="Arial" w:hAnsi="Arial"/>
          <w:color w:val="000000"/>
          <w:sz w:val="20"/>
          <w:szCs w:val="20"/>
        </w:rPr>
        <w:t xml:space="preserve">Sums all Transaction.withholdingTaxEur across uploads for the tax year</w:t>
      </w:r>
    </w:p>
    <w:p>
      <w:pPr>
        <w:pStyle w:val="ListParagraph"/>
        <w:numPr>
          <w:ilvl w:val="0"/>
          <w:numId w:val="2"/>
        </w:numPr>
        <w:spacing w:after="40" w:before="40"/>
      </w:pPr>
      <w:r>
        <w:rPr>
          <w:rFonts w:ascii="Arial" w:cs="Arial" w:eastAsia="Arial" w:hAnsi="Arial"/>
          <w:color w:val="000000"/>
          <w:sz w:val="20"/>
          <w:szCs w:val="20"/>
        </w:rPr>
        <w:t xml:space="preserve">Capped at 27.5% of the gross dividend income from that source (cannot overcredit)</w:t>
      </w:r>
    </w:p>
    <w:p>
      <w:pPr>
        <w:pStyle w:val="ListParagraph"/>
        <w:numPr>
          <w:ilvl w:val="0"/>
          <w:numId w:val="2"/>
        </w:numPr>
        <w:spacing w:after="40" w:before="40"/>
      </w:pPr>
      <w:r>
        <w:rPr>
          <w:rFonts w:ascii="Arial" w:cs="Arial" w:eastAsia="Arial" w:hAnsi="Arial"/>
          <w:color w:val="000000"/>
          <w:sz w:val="20"/>
          <w:szCs w:val="20"/>
        </w:rPr>
        <w:t xml:space="preserve">Result goes to KZ 998</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Module: E1kv Assembler</w:t>
      </w:r>
    </w:p>
    <w:p>
      <w:pPr>
        <w:spacing w:after="120" w:before="80"/>
      </w:pPr>
      <w:r>
        <w:rPr>
          <w:rFonts w:ascii="Arial" w:cs="Arial" w:eastAsia="Arial" w:hAnsi="Arial"/>
          <w:color w:val="000000"/>
          <w:sz w:val="20"/>
          <w:szCs w:val="20"/>
        </w:rPr>
        <w:t xml:space="preserve">Final step — collects all module outputs and produces a TaxCalculationResult.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Kennzahl</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Source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KZ 937</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Sum of deemed distributions for ISINs held in foreign depot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KZ 936</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Sum of deemed distributions for ISINs held in Austrian depot (rare for target user)</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KZ 985</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Sum of Transaction.grossAmountEur where type = DIVIDEND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KZ 994</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totalGains from LossNetter (after offsetting KZ 996)</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KZ 996</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totalLosses from LossNetter (absolute value)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KZ 998</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calcWithholdingTax() result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grossKest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27.5% × (KZ 937 + KZ 936 + KZ 985 + KZ 994)</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netKest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grossKest − KZ 998 (floor 0)</w:t>
            </w:r>
          </w:p>
        </w:tc>
      </w:tr>
    </w:tbl>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7. API Layer (tRPC)</w:t>
      </w:r>
    </w:p>
    <w:p>
      <w:pPr>
        <w:spacing w:after="120" w:before="80"/>
      </w:pPr>
      <w:r>
        <w:rPr>
          <w:rFonts w:ascii="Arial" w:cs="Arial" w:eastAsia="Arial" w:hAnsi="Arial"/>
          <w:color w:val="000000"/>
          <w:sz w:val="20"/>
          <w:szCs w:val="20"/>
        </w:rPr>
        <w:t xml:space="preserve">All client-server communication goes through tRPC procedures, co-located with Next.js in app/server/. This gives full TypeScript inference from database schema to React components with zero code generation steps.</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Routers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Router</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Key procedures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uploads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create (get upload URL), list (by taxYear), delete, getStatus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calculations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calculate (trigger recalc), getResult (by taxYear), listYears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oekb</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lookupFund (ISIN + year), getStatus (missing ISINs)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billing</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createCheckout, getSubscription, createPortalSession</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user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getMe, updateProfile</w:t>
            </w:r>
          </w:p>
        </w:tc>
      </w:tr>
    </w:tbl>
    <w:p>
      <w:pPr>
        <w:spacing w:after="120" w:before="0"/>
      </w:pPr>
      <w:r>
        <w:t xml:space="preserve"/>
      </w:r>
    </w:p>
    <w:p>
      <w:pPr>
        <w:pStyle w:val="Heading3"/>
        <w:spacing w:after="80" w:before="240"/>
      </w:pPr>
      <w:r>
        <w:rPr>
          <w:rFonts w:ascii="Arial" w:cs="Arial" w:eastAsia="Arial" w:hAnsi="Arial"/>
          <w:b/>
          <w:bCs/>
          <w:color w:val="1A1A1A"/>
          <w:sz w:val="22"/>
          <w:szCs w:val="22"/>
        </w:rPr>
        <w:t xml:space="preserve">Auth middleware</w:t>
      </w:r>
    </w:p>
    <w:p>
      <w:pPr>
        <w:pStyle w:val="ListParagraph"/>
        <w:numPr>
          <w:ilvl w:val="0"/>
          <w:numId w:val="2"/>
        </w:numPr>
        <w:spacing w:after="40" w:before="40"/>
      </w:pPr>
      <w:r>
        <w:rPr>
          <w:rFonts w:ascii="Arial" w:cs="Arial" w:eastAsia="Arial" w:hAnsi="Arial"/>
          <w:color w:val="000000"/>
          <w:sz w:val="20"/>
          <w:szCs w:val="20"/>
        </w:rPr>
        <w:t xml:space="preserve">All procedures protected by Clerk session token — validated in tRPC context</w:t>
      </w:r>
    </w:p>
    <w:p>
      <w:pPr>
        <w:pStyle w:val="ListParagraph"/>
        <w:numPr>
          <w:ilvl w:val="0"/>
          <w:numId w:val="2"/>
        </w:numPr>
        <w:spacing w:after="40" w:before="40"/>
      </w:pPr>
      <w:r>
        <w:rPr>
          <w:rFonts w:ascii="Arial" w:cs="Arial" w:eastAsia="Arial" w:hAnsi="Arial"/>
          <w:color w:val="000000"/>
          <w:sz w:val="20"/>
          <w:szCs w:val="20"/>
        </w:rPr>
        <w:t xml:space="preserve">Plan gates on calculation procedures — FREE users see total only, not Kennzahlen</w:t>
      </w:r>
    </w:p>
    <w:p>
      <w:pPr>
        <w:pStyle w:val="ListParagraph"/>
        <w:numPr>
          <w:ilvl w:val="0"/>
          <w:numId w:val="2"/>
        </w:numPr>
        <w:spacing w:after="40" w:before="40"/>
      </w:pPr>
      <w:r>
        <w:rPr>
          <w:rFonts w:ascii="Arial" w:cs="Arial" w:eastAsia="Arial" w:hAnsi="Arial"/>
          <w:color w:val="000000"/>
          <w:sz w:val="20"/>
          <w:szCs w:val="20"/>
        </w:rPr>
        <w:t xml:space="preserve">Rate limiting on upload.create — max 10 uploads per user per hour (Vercel KV token bucket)</w:t>
      </w:r>
    </w:p>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8. Background Jobs (Trigger.dev)</w:t>
      </w:r>
    </w:p>
    <w:p>
      <w:pPr>
        <w:spacing w:after="120" w:before="80"/>
      </w:pPr>
      <w:r>
        <w:rPr>
          <w:rFonts w:ascii="Arial" w:cs="Arial" w:eastAsia="Arial" w:hAnsi="Arial"/>
          <w:color w:val="000000"/>
          <w:sz w:val="20"/>
          <w:szCs w:val="20"/>
        </w:rPr>
        <w:t xml:space="preserve">Long-running tasks run as Trigger.dev jobs — durable, retriable, with built-in observability. Two core jobs:</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Job: parseBrokerUpload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Property</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Value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Trigger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uploads.create tRPC call enqueues job with uploadId</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Steps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1. Fetch file from Vercel Blob  →  2. Select parser by broker  →  3. Parse  →  4. Validate with Zod  →  5. Write Transactions to DB  →  6. Delete file from Blob  →  7. Update BrokerUpload.status  →  8. Trigger recalculation job</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Retry</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3 attempts with exponential backoff</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Timeout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120s per attempt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Error path</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On final failure: set status=FAILED, write errorMessage, notify user via email</w:t>
            </w:r>
          </w:p>
        </w:tc>
      </w:tr>
    </w:tbl>
    <w:p>
      <w:pPr>
        <w:spacing w:after="120" w:before="0"/>
      </w:pPr>
      <w:r>
        <w:t xml:space="preserve"/>
      </w:r>
    </w:p>
    <w:p>
      <w:pPr>
        <w:pStyle w:val="Heading3"/>
        <w:spacing w:after="80" w:before="240"/>
      </w:pPr>
      <w:r>
        <w:rPr>
          <w:rFonts w:ascii="Arial" w:cs="Arial" w:eastAsia="Arial" w:hAnsi="Arial"/>
          <w:b/>
          <w:bCs/>
          <w:color w:val="1A1A1A"/>
          <w:sz w:val="22"/>
          <w:szCs w:val="22"/>
        </w:rPr>
        <w:t xml:space="preserve">Job: fetchOekbData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Property</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Value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Trigger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After parseBrokerUpload completes — for each unique ISIN not in cache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Steps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1. Check OekbFundData cache  →  2. If miss: fetch from my.oekb.at  →  3. Fetch ECB rate for reportingDate  →  4. Write to cache  →  5. Update calculation</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Schedule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Also runs as daily cron in March–June (peak filing season) to pre-warm cache for known ISINs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Rate limit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1 request / 2s to ÖEKB, max 50 ISINs per job run</w:t>
            </w:r>
          </w:p>
        </w:tc>
      </w:tr>
    </w:tbl>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9. Frontend Architecture</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Route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Route</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Purpose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Landing page (waitlist, how-it-works, FAQ)</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/preise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Pricing page with feature comparison</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/ratgeber/[slug]</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SEO articles (DE) — static, no auth</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/en/ratgeber/[slug]</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SEO articles (EN) — static, no auth</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/app</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App shell — requires Clerk auth</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/app/[year]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Tax year dashboard — uploads, calculation result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/app/[year]/upload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Upload wizard (drag-drop, broker selector)</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/app/[year]/result</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E1kv field display + PDF export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/app/settings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Account, billing, data deletion</w:t>
            </w:r>
          </w:p>
        </w:tc>
      </w:tr>
    </w:tbl>
    <w:p>
      <w:pPr>
        <w:spacing w:after="120" w:before="0"/>
      </w:pPr>
      <w:r>
        <w:t xml:space="preserve"/>
      </w:r>
    </w:p>
    <w:p>
      <w:pPr>
        <w:pStyle w:val="Heading3"/>
        <w:spacing w:after="80" w:before="240"/>
      </w:pPr>
      <w:r>
        <w:rPr>
          <w:rFonts w:ascii="Arial" w:cs="Arial" w:eastAsia="Arial" w:hAnsi="Arial"/>
          <w:b/>
          <w:bCs/>
          <w:color w:val="1A1A1A"/>
          <w:sz w:val="22"/>
          <w:szCs w:val="22"/>
        </w:rPr>
        <w:t xml:space="preserve">State management</w:t>
      </w:r>
    </w:p>
    <w:p>
      <w:pPr>
        <w:pStyle w:val="ListParagraph"/>
        <w:numPr>
          <w:ilvl w:val="0"/>
          <w:numId w:val="2"/>
        </w:numPr>
        <w:spacing w:after="40" w:before="40"/>
      </w:pPr>
      <w:r>
        <w:rPr>
          <w:rFonts w:ascii="Arial" w:cs="Arial" w:eastAsia="Arial" w:hAnsi="Arial"/>
          <w:color w:val="000000"/>
          <w:sz w:val="20"/>
          <w:szCs w:val="20"/>
        </w:rPr>
        <w:t xml:space="preserve">Server state: TanStack Query (React Query) — all tRPC procedures wrapped</w:t>
      </w:r>
    </w:p>
    <w:p>
      <w:pPr>
        <w:pStyle w:val="ListParagraph"/>
        <w:numPr>
          <w:ilvl w:val="0"/>
          <w:numId w:val="2"/>
        </w:numPr>
        <w:spacing w:after="40" w:before="40"/>
      </w:pPr>
      <w:r>
        <w:rPr>
          <w:rFonts w:ascii="Arial" w:cs="Arial" w:eastAsia="Arial" w:hAnsi="Arial"/>
          <w:color w:val="000000"/>
          <w:sz w:val="20"/>
          <w:szCs w:val="20"/>
        </w:rPr>
        <w:t xml:space="preserve">Form state: React Hook Form + Zod resolvers</w:t>
      </w:r>
    </w:p>
    <w:p>
      <w:pPr>
        <w:pStyle w:val="ListParagraph"/>
        <w:numPr>
          <w:ilvl w:val="0"/>
          <w:numId w:val="2"/>
        </w:numPr>
        <w:spacing w:after="40" w:before="40"/>
      </w:pPr>
      <w:r>
        <w:rPr>
          <w:rFonts w:ascii="Arial" w:cs="Arial" w:eastAsia="Arial" w:hAnsi="Arial"/>
          <w:color w:val="000000"/>
          <w:sz w:val="20"/>
          <w:szCs w:val="20"/>
        </w:rPr>
        <w:t xml:space="preserve">UI state: React useState / context — no global state library</w:t>
      </w:r>
    </w:p>
    <w:p>
      <w:pPr>
        <w:pStyle w:val="ListParagraph"/>
        <w:numPr>
          <w:ilvl w:val="0"/>
          <w:numId w:val="2"/>
        </w:numPr>
        <w:spacing w:after="40" w:before="40"/>
      </w:pPr>
      <w:r>
        <w:rPr>
          <w:rFonts w:ascii="Arial" w:cs="Arial" w:eastAsia="Arial" w:hAnsi="Arial"/>
          <w:color w:val="000000"/>
          <w:sz w:val="20"/>
          <w:szCs w:val="20"/>
        </w:rPr>
        <w:t xml:space="preserve">Language: existing useLang() context (i18n.tsx) — DE/EN</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Key frontend libraries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Library</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Use</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@tanstack/react-query</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Server state, caching, background refetch</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react-hook-form</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Upload wizard, settings forms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zod</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Shared validation schemas (also used on server)</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@react-pdf/renderer</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Client-side PDF export of tax report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react-dropzone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File upload drag-and-drop</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recharts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Simple bar chart for tax year summary (optional v2)</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date-fns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Date formatting and manipulation</w:t>
            </w:r>
          </w:p>
        </w:tc>
      </w:tr>
    </w:tbl>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10. Infrastructure &amp; Deployment</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c>
          <w:tcPr>
            <w:tcW w:type="dxa" w:w="24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Service</w:t>
            </w:r>
          </w:p>
        </w:tc>
        <w:tc>
          <w:tcPr>
            <w:tcW w:type="dxa" w:w="24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Provider</w:t>
            </w:r>
          </w:p>
        </w:tc>
        <w:tc>
          <w:tcPr>
            <w:tcW w:type="dxa" w:w="4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Frontend + API</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Vercel</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Next.js deployment, Edge middleware for auth, automatic preview deployments</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Database</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Neon</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Serverless Postgres, auto-pause on free tier, EU region (Frankfurt)</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File storage</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Vercel Blob</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Temp uploads, 24h TTL. No long-term file storage — deleted after parse.</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Background jobs</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Trigger.dev</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Cloud-hosted, EU region. Self-host option if data sensitivity requires.</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Auth</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Clerk</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EU data residency option. Webhook to sync user to our DB on creation.</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Email</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Loops.so</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Waitlist, transactional, onboarding sequences</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Billing</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Stripe</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One-time annual payments. Webhook to update user.plan in DB.</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Error tracking</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Sentry</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EU region, source maps uploaded on deploy</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Analytics</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PostHog</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EU cloud, cookieless mode, GDPR compliant</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DNS / CDN</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Cloudflare</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DNS, DDoS protection</w:t>
            </w:r>
          </w:p>
        </w:tc>
      </w:tr>
    </w:tbl>
    <w:p>
      <w:pPr>
        <w:spacing w:after="120" w:before="0"/>
      </w:pPr>
      <w:r>
        <w:t xml:space="preserve"/>
      </w:r>
    </w:p>
    <w:p>
      <w:pPr>
        <w:pStyle w:val="Heading3"/>
        <w:spacing w:after="80" w:before="240"/>
      </w:pPr>
      <w:r>
        <w:rPr>
          <w:rFonts w:ascii="Arial" w:cs="Arial" w:eastAsia="Arial" w:hAnsi="Arial"/>
          <w:b/>
          <w:bCs/>
          <w:color w:val="1A1A1A"/>
          <w:sz w:val="22"/>
          <w:szCs w:val="22"/>
        </w:rPr>
        <w:t xml:space="preserve">Environment variables</w:t>
      </w:r>
    </w:p>
    <w:p>
      <w:pPr>
        <w:pStyle w:val="ListParagraph"/>
        <w:numPr>
          <w:ilvl w:val="0"/>
          <w:numId w:val="2"/>
        </w:numPr>
        <w:spacing w:after="40" w:before="40"/>
      </w:pPr>
      <w:r>
        <w:rPr>
          <w:rFonts w:ascii="Arial" w:cs="Arial" w:eastAsia="Arial" w:hAnsi="Arial"/>
          <w:color w:val="000000"/>
          <w:sz w:val="20"/>
          <w:szCs w:val="20"/>
        </w:rPr>
        <w:t xml:space="preserve">DATABASE_URL — Neon connection string</w:t>
      </w:r>
    </w:p>
    <w:p>
      <w:pPr>
        <w:pStyle w:val="ListParagraph"/>
        <w:numPr>
          <w:ilvl w:val="0"/>
          <w:numId w:val="2"/>
        </w:numPr>
        <w:spacing w:after="40" w:before="40"/>
      </w:pPr>
      <w:r>
        <w:rPr>
          <w:rFonts w:ascii="Arial" w:cs="Arial" w:eastAsia="Arial" w:hAnsi="Arial"/>
          <w:color w:val="000000"/>
          <w:sz w:val="20"/>
          <w:szCs w:val="20"/>
        </w:rPr>
        <w:t xml:space="preserve">CLERK_SECRET_KEY, NEXT_PUBLIC_CLERK_PUBLISHABLE_KEY</w:t>
      </w:r>
    </w:p>
    <w:p>
      <w:pPr>
        <w:pStyle w:val="ListParagraph"/>
        <w:numPr>
          <w:ilvl w:val="0"/>
          <w:numId w:val="2"/>
        </w:numPr>
        <w:spacing w:after="40" w:before="40"/>
      </w:pPr>
      <w:r>
        <w:rPr>
          <w:rFonts w:ascii="Arial" w:cs="Arial" w:eastAsia="Arial" w:hAnsi="Arial"/>
          <w:color w:val="000000"/>
          <w:sz w:val="20"/>
          <w:szCs w:val="20"/>
        </w:rPr>
        <w:t xml:space="preserve">TRIGGER_API_KEY, TRIGGER_SECRET_KEY</w:t>
      </w:r>
    </w:p>
    <w:p>
      <w:pPr>
        <w:pStyle w:val="ListParagraph"/>
        <w:numPr>
          <w:ilvl w:val="0"/>
          <w:numId w:val="2"/>
        </w:numPr>
        <w:spacing w:after="40" w:before="40"/>
      </w:pPr>
      <w:r>
        <w:rPr>
          <w:rFonts w:ascii="Arial" w:cs="Arial" w:eastAsia="Arial" w:hAnsi="Arial"/>
          <w:color w:val="000000"/>
          <w:sz w:val="20"/>
          <w:szCs w:val="20"/>
        </w:rPr>
        <w:t xml:space="preserve">STRIPE_SECRET_KEY, STRIPE_WEBHOOK_SECRET</w:t>
      </w:r>
    </w:p>
    <w:p>
      <w:pPr>
        <w:pStyle w:val="ListParagraph"/>
        <w:numPr>
          <w:ilvl w:val="0"/>
          <w:numId w:val="2"/>
        </w:numPr>
        <w:spacing w:after="40" w:before="40"/>
      </w:pPr>
      <w:r>
        <w:rPr>
          <w:rFonts w:ascii="Arial" w:cs="Arial" w:eastAsia="Arial" w:hAnsi="Arial"/>
          <w:color w:val="000000"/>
          <w:sz w:val="20"/>
          <w:szCs w:val="20"/>
        </w:rPr>
        <w:t xml:space="preserve">LOOPS_API_KEY</w:t>
      </w:r>
    </w:p>
    <w:p>
      <w:pPr>
        <w:pStyle w:val="ListParagraph"/>
        <w:numPr>
          <w:ilvl w:val="0"/>
          <w:numId w:val="2"/>
        </w:numPr>
        <w:spacing w:after="40" w:before="40"/>
      </w:pPr>
      <w:r>
        <w:rPr>
          <w:rFonts w:ascii="Arial" w:cs="Arial" w:eastAsia="Arial" w:hAnsi="Arial"/>
          <w:color w:val="000000"/>
          <w:sz w:val="20"/>
          <w:szCs w:val="20"/>
        </w:rPr>
        <w:t xml:space="preserve">BLOB_READ_WRITE_TOKEN — Vercel Blob</w:t>
      </w:r>
    </w:p>
    <w:p>
      <w:pPr>
        <w:pStyle w:val="ListParagraph"/>
        <w:numPr>
          <w:ilvl w:val="0"/>
          <w:numId w:val="2"/>
        </w:numPr>
        <w:spacing w:after="40" w:before="40"/>
      </w:pPr>
      <w:r>
        <w:rPr>
          <w:rFonts w:ascii="Arial" w:cs="Arial" w:eastAsia="Arial" w:hAnsi="Arial"/>
          <w:color w:val="000000"/>
          <w:sz w:val="20"/>
          <w:szCs w:val="20"/>
        </w:rPr>
        <w:t xml:space="preserve">SENTRY_DSN</w:t>
      </w:r>
    </w:p>
    <w:p>
      <w:pPr>
        <w:pStyle w:val="ListParagraph"/>
        <w:numPr>
          <w:ilvl w:val="0"/>
          <w:numId w:val="2"/>
        </w:numPr>
        <w:spacing w:after="40" w:before="40"/>
      </w:pPr>
      <w:r>
        <w:rPr>
          <w:rFonts w:ascii="Arial" w:cs="Arial" w:eastAsia="Arial" w:hAnsi="Arial"/>
          <w:color w:val="000000"/>
          <w:sz w:val="20"/>
          <w:szCs w:val="20"/>
        </w:rPr>
        <w:t xml:space="preserve">POSTHOG_KEY</w:t>
      </w:r>
    </w:p>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11. Security &amp; GDPR</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Data minimisation</w:t>
      </w:r>
    </w:p>
    <w:p>
      <w:pPr>
        <w:pStyle w:val="ListParagraph"/>
        <w:numPr>
          <w:ilvl w:val="0"/>
          <w:numId w:val="2"/>
        </w:numPr>
        <w:spacing w:after="40" w:before="40"/>
      </w:pPr>
      <w:r>
        <w:rPr>
          <w:rFonts w:ascii="Arial" w:cs="Arial" w:eastAsia="Arial" w:hAnsi="Arial"/>
          <w:color w:val="000000"/>
          <w:sz w:val="20"/>
          <w:szCs w:val="20"/>
        </w:rPr>
        <w:t xml:space="preserve">Raw PDF/CSV files deleted from Vercel Blob immediately after successful parse</w:t>
      </w:r>
    </w:p>
    <w:p>
      <w:pPr>
        <w:pStyle w:val="ListParagraph"/>
        <w:numPr>
          <w:ilvl w:val="0"/>
          <w:numId w:val="2"/>
        </w:numPr>
        <w:spacing w:after="40" w:before="40"/>
      </w:pPr>
      <w:r>
        <w:rPr>
          <w:rFonts w:ascii="Arial" w:cs="Arial" w:eastAsia="Arial" w:hAnsi="Arial"/>
          <w:color w:val="000000"/>
          <w:sz w:val="20"/>
          <w:szCs w:val="20"/>
        </w:rPr>
        <w:t xml:space="preserve">Only normalised Transaction records stored — no raw financial document text</w:t>
      </w:r>
    </w:p>
    <w:p>
      <w:pPr>
        <w:pStyle w:val="ListParagraph"/>
        <w:numPr>
          <w:ilvl w:val="0"/>
          <w:numId w:val="2"/>
        </w:numPr>
        <w:spacing w:after="40" w:before="40"/>
      </w:pPr>
      <w:r>
        <w:rPr>
          <w:rFonts w:ascii="Arial" w:cs="Arial" w:eastAsia="Arial" w:hAnsi="Arial"/>
          <w:color w:val="000000"/>
          <w:sz w:val="20"/>
          <w:szCs w:val="20"/>
        </w:rPr>
        <w:t xml:space="preserve">Users can delete all their data at any time from /app/settings (cascade deletes all Transactions, Positions, Calculations)</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Data residency</w:t>
      </w:r>
    </w:p>
    <w:p>
      <w:pPr>
        <w:pStyle w:val="ListParagraph"/>
        <w:numPr>
          <w:ilvl w:val="0"/>
          <w:numId w:val="2"/>
        </w:numPr>
        <w:spacing w:after="40" w:before="40"/>
      </w:pPr>
      <w:r>
        <w:rPr>
          <w:rFonts w:ascii="Arial" w:cs="Arial" w:eastAsia="Arial" w:hAnsi="Arial"/>
          <w:color w:val="000000"/>
          <w:sz w:val="20"/>
          <w:szCs w:val="20"/>
        </w:rPr>
        <w:t xml:space="preserve">All services configured to EU region (Frankfurt / Dublin)</w:t>
      </w:r>
    </w:p>
    <w:p>
      <w:pPr>
        <w:pStyle w:val="ListParagraph"/>
        <w:numPr>
          <w:ilvl w:val="0"/>
          <w:numId w:val="2"/>
        </w:numPr>
        <w:spacing w:after="40" w:before="40"/>
      </w:pPr>
      <w:r>
        <w:rPr>
          <w:rFonts w:ascii="Arial" w:cs="Arial" w:eastAsia="Arial" w:hAnsi="Arial"/>
          <w:color w:val="000000"/>
          <w:sz w:val="20"/>
          <w:szCs w:val="20"/>
        </w:rPr>
        <w:t xml:space="preserve">Neon: EU region. Vercel Blob: EU region. Trigger.dev: EU region.</w:t>
      </w:r>
    </w:p>
    <w:p>
      <w:pPr>
        <w:pStyle w:val="ListParagraph"/>
        <w:numPr>
          <w:ilvl w:val="0"/>
          <w:numId w:val="2"/>
        </w:numPr>
        <w:spacing w:after="40" w:before="40"/>
      </w:pPr>
      <w:r>
        <w:rPr>
          <w:rFonts w:ascii="Arial" w:cs="Arial" w:eastAsia="Arial" w:hAnsi="Arial"/>
          <w:color w:val="000000"/>
          <w:sz w:val="20"/>
          <w:szCs w:val="20"/>
        </w:rPr>
        <w:t xml:space="preserve">GDPR Art. 13 disclosures in Datenschutzerklärung — Loops.so named as processor</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Access control</w:t>
      </w:r>
    </w:p>
    <w:p>
      <w:pPr>
        <w:pStyle w:val="ListParagraph"/>
        <w:numPr>
          <w:ilvl w:val="0"/>
          <w:numId w:val="2"/>
        </w:numPr>
        <w:spacing w:after="40" w:before="40"/>
      </w:pPr>
      <w:r>
        <w:rPr>
          <w:rFonts w:ascii="Arial" w:cs="Arial" w:eastAsia="Arial" w:hAnsi="Arial"/>
          <w:color w:val="000000"/>
          <w:sz w:val="20"/>
          <w:szCs w:val="20"/>
        </w:rPr>
        <w:t xml:space="preserve">All DB queries scoped to userId — no cross-user data access possible at ORM level</w:t>
      </w:r>
    </w:p>
    <w:p>
      <w:pPr>
        <w:pStyle w:val="ListParagraph"/>
        <w:numPr>
          <w:ilvl w:val="0"/>
          <w:numId w:val="2"/>
        </w:numPr>
        <w:spacing w:after="40" w:before="40"/>
      </w:pPr>
      <w:r>
        <w:rPr>
          <w:rFonts w:ascii="Arial" w:cs="Arial" w:eastAsia="Arial" w:hAnsi="Arial"/>
          <w:color w:val="000000"/>
          <w:sz w:val="20"/>
          <w:szCs w:val="20"/>
        </w:rPr>
        <w:t xml:space="preserve">Clerk session tokens validated in tRPC context on every request</w:t>
      </w:r>
    </w:p>
    <w:p>
      <w:pPr>
        <w:pStyle w:val="ListParagraph"/>
        <w:numPr>
          <w:ilvl w:val="0"/>
          <w:numId w:val="2"/>
        </w:numPr>
        <w:spacing w:after="40" w:before="40"/>
      </w:pPr>
      <w:r>
        <w:rPr>
          <w:rFonts w:ascii="Arial" w:cs="Arial" w:eastAsia="Arial" w:hAnsi="Arial"/>
          <w:color w:val="000000"/>
          <w:sz w:val="20"/>
          <w:szCs w:val="20"/>
        </w:rPr>
        <w:t xml:space="preserve">Presigned upload URLs — client uploads directly to Blob, server never handles raw file bytes in request body</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Secrets</w:t>
      </w:r>
    </w:p>
    <w:p>
      <w:pPr>
        <w:pStyle w:val="ListParagraph"/>
        <w:numPr>
          <w:ilvl w:val="0"/>
          <w:numId w:val="2"/>
        </w:numPr>
        <w:spacing w:after="40" w:before="40"/>
      </w:pPr>
      <w:r>
        <w:rPr>
          <w:rFonts w:ascii="Arial" w:cs="Arial" w:eastAsia="Arial" w:hAnsi="Arial"/>
          <w:color w:val="000000"/>
          <w:sz w:val="20"/>
          <w:szCs w:val="20"/>
        </w:rPr>
        <w:t xml:space="preserve">All secrets via Vercel environment variables — never in source</w:t>
      </w:r>
    </w:p>
    <w:p>
      <w:pPr>
        <w:pStyle w:val="ListParagraph"/>
        <w:numPr>
          <w:ilvl w:val="0"/>
          <w:numId w:val="2"/>
        </w:numPr>
        <w:spacing w:after="40" w:before="40"/>
      </w:pPr>
      <w:r>
        <w:rPr>
          <w:rFonts w:ascii="Arial" w:cs="Arial" w:eastAsia="Arial" w:hAnsi="Arial"/>
          <w:color w:val="000000"/>
          <w:sz w:val="20"/>
          <w:szCs w:val="20"/>
        </w:rPr>
        <w:t xml:space="preserve">Separate secret sets for dev / preview / production</w:t>
      </w:r>
    </w:p>
    <w:p>
      <w:pPr>
        <w:pStyle w:val="ListParagraph"/>
        <w:numPr>
          <w:ilvl w:val="0"/>
          <w:numId w:val="2"/>
        </w:numPr>
        <w:spacing w:after="40" w:before="40"/>
      </w:pPr>
      <w:r>
        <w:rPr>
          <w:rFonts w:ascii="Arial" w:cs="Arial" w:eastAsia="Arial" w:hAnsi="Arial"/>
          <w:color w:val="000000"/>
          <w:sz w:val="20"/>
          <w:szCs w:val="20"/>
        </w:rPr>
        <w:t xml:space="preserve">Stripe webhook signature verified on every webhook</w:t>
      </w:r>
    </w:p>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12. Testing Strategy</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Layer</w:t>
            </w:r>
          </w:p>
        </w:tc>
        <w:tc>
          <w:tcPr>
            <w:tcW w:type="dxa" w:w="6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Approach &amp; Tools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Tax calculation engine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Jest unit tests. 100% branch coverage target. Test with real-world examples cross-checked against manual calculations and BMF documentation.</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PDF parsers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Jest unit tests with fixture files (one real statement per broker per year). Test both happy path and common edge cases (partial year, zero transactions, multiple currencies).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ÖEKB integration</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Integration tests against live my.oekb.at for a set of known ISINs. Run in CI nightly, not on every commit. Results compared against manually verified reference values.</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tRPC procedures</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Vitest + @trpc/server testing utilities. Mock DB with in-memory Prisma client.</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E2E</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Playwright — upload → calculate → result flow for each supported broker. Run on staging before production deploy.</w:t>
            </w:r>
          </w:p>
        </w:tc>
      </w:tr>
      <w:tr>
        <w:tc>
          <w:tcPr>
            <w:tcW w:type="dxa" w:w="28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Tax rule regression</w:t>
            </w:r>
          </w:p>
        </w:tc>
        <w:tc>
          <w:tcPr>
            <w:tcW w:type="dxa" w:w="6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Golden-file tests: for each tax year, a set of known inputs produces a known E1kv output. Any change to tax logic must update golden files with justification.</w:t>
            </w:r>
          </w:p>
        </w:tc>
      </w:tr>
    </w:tbl>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13. Development Phases</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Phase 1 — IBKR MVP (target: 6 weeks)</w:t>
      </w:r>
    </w:p>
    <w:p>
      <w:pPr>
        <w:pStyle w:val="ListParagraph"/>
        <w:numPr>
          <w:ilvl w:val="0"/>
          <w:numId w:val="2"/>
        </w:numPr>
        <w:spacing w:after="40" w:before="40"/>
      </w:pPr>
      <w:r>
        <w:rPr>
          <w:rFonts w:ascii="Arial" w:cs="Arial" w:eastAsia="Arial" w:hAnsi="Arial"/>
          <w:color w:val="000000"/>
          <w:sz w:val="20"/>
          <w:szCs w:val="20"/>
        </w:rPr>
        <w:t xml:space="preserve">Interactive Brokers CSV parser</w:t>
      </w:r>
    </w:p>
    <w:p>
      <w:pPr>
        <w:pStyle w:val="ListParagraph"/>
        <w:numPr>
          <w:ilvl w:val="0"/>
          <w:numId w:val="2"/>
        </w:numPr>
        <w:spacing w:after="40" w:before="40"/>
      </w:pPr>
      <w:r>
        <w:rPr>
          <w:rFonts w:ascii="Arial" w:cs="Arial" w:eastAsia="Arial" w:hAnsi="Arial"/>
          <w:color w:val="000000"/>
          <w:sz w:val="20"/>
          <w:szCs w:val="20"/>
        </w:rPr>
        <w:t xml:space="preserve">Weighted average position tracker</w:t>
      </w:r>
    </w:p>
    <w:p>
      <w:pPr>
        <w:pStyle w:val="ListParagraph"/>
        <w:numPr>
          <w:ilvl w:val="0"/>
          <w:numId w:val="2"/>
        </w:numPr>
        <w:spacing w:after="40" w:before="40"/>
      </w:pPr>
      <w:r>
        <w:rPr>
          <w:rFonts w:ascii="Arial" w:cs="Arial" w:eastAsia="Arial" w:hAnsi="Arial"/>
          <w:color w:val="000000"/>
          <w:sz w:val="20"/>
          <w:szCs w:val="20"/>
        </w:rPr>
        <w:t xml:space="preserve">Manual ÖEKB data entry (user pastes values from my.oekb.at) — ÖEKB auto-fetch in Phase 2</w:t>
      </w:r>
    </w:p>
    <w:p>
      <w:pPr>
        <w:pStyle w:val="ListParagraph"/>
        <w:numPr>
          <w:ilvl w:val="0"/>
          <w:numId w:val="2"/>
        </w:numPr>
        <w:spacing w:after="40" w:before="40"/>
      </w:pPr>
      <w:r>
        <w:rPr>
          <w:rFonts w:ascii="Arial" w:cs="Arial" w:eastAsia="Arial" w:hAnsi="Arial"/>
          <w:color w:val="000000"/>
          <w:sz w:val="20"/>
          <w:szCs w:val="20"/>
        </w:rPr>
        <w:t xml:space="preserve">Single tax year, single broker</w:t>
      </w:r>
    </w:p>
    <w:p>
      <w:pPr>
        <w:pStyle w:val="ListParagraph"/>
        <w:numPr>
          <w:ilvl w:val="0"/>
          <w:numId w:val="2"/>
        </w:numPr>
        <w:spacing w:after="40" w:before="40"/>
      </w:pPr>
      <w:r>
        <w:rPr>
          <w:rFonts w:ascii="Arial" w:cs="Arial" w:eastAsia="Arial" w:hAnsi="Arial"/>
          <w:color w:val="000000"/>
          <w:sz w:val="20"/>
          <w:szCs w:val="20"/>
        </w:rPr>
        <w:t xml:space="preserve">E1kv field display (no PDF export)</w:t>
      </w:r>
    </w:p>
    <w:p>
      <w:pPr>
        <w:pStyle w:val="ListParagraph"/>
        <w:numPr>
          <w:ilvl w:val="0"/>
          <w:numId w:val="2"/>
        </w:numPr>
        <w:spacing w:after="40" w:before="40"/>
      </w:pPr>
      <w:r>
        <w:rPr>
          <w:rFonts w:ascii="Arial" w:cs="Arial" w:eastAsia="Arial" w:hAnsi="Arial"/>
          <w:color w:val="000000"/>
          <w:sz w:val="20"/>
          <w:szCs w:val="20"/>
        </w:rPr>
        <w:t xml:space="preserve">Clerk auth, Stripe one-time payment</w:t>
      </w:r>
    </w:p>
    <w:p>
      <w:pPr>
        <w:pStyle w:val="ListParagraph"/>
        <w:numPr>
          <w:ilvl w:val="0"/>
          <w:numId w:val="2"/>
        </w:numPr>
        <w:spacing w:after="40" w:before="40"/>
      </w:pPr>
      <w:r>
        <w:rPr>
          <w:rFonts w:ascii="Arial" w:cs="Arial" w:eastAsia="Arial" w:hAnsi="Arial"/>
          <w:color w:val="000000"/>
          <w:sz w:val="20"/>
          <w:szCs w:val="20"/>
        </w:rPr>
        <w:t xml:space="preserve">Deploy to production</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Phase 2 — Multi-broker + ÖEKB automation (target: +4 weeks)</w:t>
      </w:r>
    </w:p>
    <w:p>
      <w:pPr>
        <w:pStyle w:val="ListParagraph"/>
        <w:numPr>
          <w:ilvl w:val="0"/>
          <w:numId w:val="2"/>
        </w:numPr>
        <w:spacing w:after="40" w:before="40"/>
      </w:pPr>
      <w:r>
        <w:rPr>
          <w:rFonts w:ascii="Arial" w:cs="Arial" w:eastAsia="Arial" w:hAnsi="Arial"/>
          <w:color w:val="000000"/>
          <w:sz w:val="20"/>
          <w:szCs w:val="20"/>
        </w:rPr>
        <w:t xml:space="preserve">Scalable Capital PDF parser</w:t>
      </w:r>
    </w:p>
    <w:p>
      <w:pPr>
        <w:pStyle w:val="ListParagraph"/>
        <w:numPr>
          <w:ilvl w:val="0"/>
          <w:numId w:val="2"/>
        </w:numPr>
        <w:spacing w:after="40" w:before="40"/>
      </w:pPr>
      <w:r>
        <w:rPr>
          <w:rFonts w:ascii="Arial" w:cs="Arial" w:eastAsia="Arial" w:hAnsi="Arial"/>
          <w:color w:val="000000"/>
          <w:sz w:val="20"/>
          <w:szCs w:val="20"/>
        </w:rPr>
        <w:t xml:space="preserve">DEGIRO PDF parser</w:t>
      </w:r>
    </w:p>
    <w:p>
      <w:pPr>
        <w:pStyle w:val="ListParagraph"/>
        <w:numPr>
          <w:ilvl w:val="0"/>
          <w:numId w:val="2"/>
        </w:numPr>
        <w:spacing w:after="40" w:before="40"/>
      </w:pPr>
      <w:r>
        <w:rPr>
          <w:rFonts w:ascii="Arial" w:cs="Arial" w:eastAsia="Arial" w:hAnsi="Arial"/>
          <w:color w:val="000000"/>
          <w:sz w:val="20"/>
          <w:szCs w:val="20"/>
        </w:rPr>
        <w:t xml:space="preserve">ÖEKB auto-fetch via Trigger.dev job</w:t>
      </w:r>
    </w:p>
    <w:p>
      <w:pPr>
        <w:pStyle w:val="ListParagraph"/>
        <w:numPr>
          <w:ilvl w:val="0"/>
          <w:numId w:val="2"/>
        </w:numPr>
        <w:spacing w:after="40" w:before="40"/>
      </w:pPr>
      <w:r>
        <w:rPr>
          <w:rFonts w:ascii="Arial" w:cs="Arial" w:eastAsia="Arial" w:hAnsi="Arial"/>
          <w:color w:val="000000"/>
          <w:sz w:val="20"/>
          <w:szCs w:val="20"/>
        </w:rPr>
        <w:t xml:space="preserve">ECB exchange rate integration</w:t>
      </w:r>
    </w:p>
    <w:p>
      <w:pPr>
        <w:pStyle w:val="ListParagraph"/>
        <w:numPr>
          <w:ilvl w:val="0"/>
          <w:numId w:val="2"/>
        </w:numPr>
        <w:spacing w:after="40" w:before="40"/>
      </w:pPr>
      <w:r>
        <w:rPr>
          <w:rFonts w:ascii="Arial" w:cs="Arial" w:eastAsia="Arial" w:hAnsi="Arial"/>
          <w:color w:val="000000"/>
          <w:sz w:val="20"/>
          <w:szCs w:val="20"/>
        </w:rPr>
        <w:t xml:space="preserve">Cross-broker loss netting</w:t>
      </w:r>
    </w:p>
    <w:p>
      <w:pPr>
        <w:pStyle w:val="ListParagraph"/>
        <w:numPr>
          <w:ilvl w:val="0"/>
          <w:numId w:val="2"/>
        </w:numPr>
        <w:spacing w:after="40" w:before="40"/>
      </w:pPr>
      <w:r>
        <w:rPr>
          <w:rFonts w:ascii="Arial" w:cs="Arial" w:eastAsia="Arial" w:hAnsi="Arial"/>
          <w:color w:val="000000"/>
          <w:sz w:val="20"/>
          <w:szCs w:val="20"/>
        </w:rPr>
        <w:t xml:space="preserve">PDF export (@react-pdf/renderer)</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Phase 3 — Polish + Trade Republic (target: +2 weeks)</w:t>
      </w:r>
    </w:p>
    <w:p>
      <w:pPr>
        <w:pStyle w:val="ListParagraph"/>
        <w:numPr>
          <w:ilvl w:val="0"/>
          <w:numId w:val="2"/>
        </w:numPr>
        <w:spacing w:after="40" w:before="40"/>
      </w:pPr>
      <w:r>
        <w:rPr>
          <w:rFonts w:ascii="Arial" w:cs="Arial" w:eastAsia="Arial" w:hAnsi="Arial"/>
          <w:color w:val="000000"/>
          <w:sz w:val="20"/>
          <w:szCs w:val="20"/>
        </w:rPr>
        <w:t xml:space="preserve">Trade Republic parser (partial year 2025 support)</w:t>
      </w:r>
    </w:p>
    <w:p>
      <w:pPr>
        <w:pStyle w:val="ListParagraph"/>
        <w:numPr>
          <w:ilvl w:val="0"/>
          <w:numId w:val="2"/>
        </w:numPr>
        <w:spacing w:after="40" w:before="40"/>
      </w:pPr>
      <w:r>
        <w:rPr>
          <w:rFonts w:ascii="Arial" w:cs="Arial" w:eastAsia="Arial" w:hAnsi="Arial"/>
          <w:color w:val="000000"/>
          <w:sz w:val="20"/>
          <w:szCs w:val="20"/>
        </w:rPr>
        <w:t xml:space="preserve">Multi-year support — historical tax years</w:t>
      </w:r>
    </w:p>
    <w:p>
      <w:pPr>
        <w:pStyle w:val="ListParagraph"/>
        <w:numPr>
          <w:ilvl w:val="0"/>
          <w:numId w:val="2"/>
        </w:numPr>
        <w:spacing w:after="40" w:before="40"/>
      </w:pPr>
      <w:r>
        <w:rPr>
          <w:rFonts w:ascii="Arial" w:cs="Arial" w:eastAsia="Arial" w:hAnsi="Arial"/>
          <w:color w:val="000000"/>
          <w:sz w:val="20"/>
          <w:szCs w:val="20"/>
        </w:rPr>
        <w:t xml:space="preserve">Warning system for edge cases (Altbestand, non-Meldefonds)</w:t>
      </w:r>
    </w:p>
    <w:p>
      <w:pPr>
        <w:pStyle w:val="ListParagraph"/>
        <w:numPr>
          <w:ilvl w:val="0"/>
          <w:numId w:val="2"/>
        </w:numPr>
        <w:spacing w:after="40" w:before="40"/>
      </w:pPr>
      <w:r>
        <w:rPr>
          <w:rFonts w:ascii="Arial" w:cs="Arial" w:eastAsia="Arial" w:hAnsi="Arial"/>
          <w:color w:val="000000"/>
          <w:sz w:val="20"/>
          <w:szCs w:val="20"/>
        </w:rPr>
        <w:t xml:space="preserve">Onboarding email sequence via Loops.so</w:t>
      </w:r>
    </w:p>
    <w:p>
      <w:pPr>
        <w:spacing w:after="120" w:before="0"/>
      </w:pPr>
      <w:r>
        <w:t xml:space="preserve"/>
      </w:r>
    </w:p>
    <w:p>
      <w:pPr>
        <w:pStyle w:val="Heading3"/>
        <w:spacing w:after="80" w:before="240"/>
      </w:pPr>
      <w:r>
        <w:rPr>
          <w:rFonts w:ascii="Arial" w:cs="Arial" w:eastAsia="Arial" w:hAnsi="Arial"/>
          <w:b/>
          <w:bCs/>
          <w:color w:val="1A1A1A"/>
          <w:sz w:val="22"/>
          <w:szCs w:val="22"/>
        </w:rPr>
        <w:t xml:space="preserve">Phase 4 — Growth (ongoing)</w:t>
      </w:r>
    </w:p>
    <w:p>
      <w:pPr>
        <w:pStyle w:val="ListParagraph"/>
        <w:numPr>
          <w:ilvl w:val="0"/>
          <w:numId w:val="2"/>
        </w:numPr>
        <w:spacing w:after="40" w:before="40"/>
      </w:pPr>
      <w:r>
        <w:rPr>
          <w:rFonts w:ascii="Arial" w:cs="Arial" w:eastAsia="Arial" w:hAnsi="Arial"/>
          <w:color w:val="000000"/>
          <w:sz w:val="20"/>
          <w:szCs w:val="20"/>
        </w:rPr>
        <w:t xml:space="preserve">Additional broker parsers based on waitlist data</w:t>
      </w:r>
    </w:p>
    <w:p>
      <w:pPr>
        <w:pStyle w:val="ListParagraph"/>
        <w:numPr>
          <w:ilvl w:val="0"/>
          <w:numId w:val="2"/>
        </w:numPr>
        <w:spacing w:after="40" w:before="40"/>
      </w:pPr>
      <w:r>
        <w:rPr>
          <w:rFonts w:ascii="Arial" w:cs="Arial" w:eastAsia="Arial" w:hAnsi="Arial"/>
          <w:color w:val="000000"/>
          <w:sz w:val="20"/>
          <w:szCs w:val="20"/>
        </w:rPr>
        <w:t xml:space="preserve">CSV import wizard for unsupported brokers</w:t>
      </w:r>
    </w:p>
    <w:p>
      <w:pPr>
        <w:pStyle w:val="ListParagraph"/>
        <w:numPr>
          <w:ilvl w:val="0"/>
          <w:numId w:val="2"/>
        </w:numPr>
        <w:spacing w:after="40" w:before="40"/>
      </w:pPr>
      <w:r>
        <w:rPr>
          <w:rFonts w:ascii="Arial" w:cs="Arial" w:eastAsia="Arial" w:hAnsi="Arial"/>
          <w:color w:val="000000"/>
          <w:sz w:val="20"/>
          <w:szCs w:val="20"/>
        </w:rPr>
        <w:t xml:space="preserve">Crypto support (Bitpanda, Coinbase)</w:t>
      </w:r>
    </w:p>
    <w:p>
      <w:pPr>
        <w:pStyle w:val="ListParagraph"/>
        <w:numPr>
          <w:ilvl w:val="0"/>
          <w:numId w:val="2"/>
        </w:numPr>
        <w:spacing w:after="40" w:before="40"/>
      </w:pPr>
      <w:r>
        <w:rPr>
          <w:rFonts w:ascii="Arial" w:cs="Arial" w:eastAsia="Arial" w:hAnsi="Arial"/>
          <w:color w:val="000000"/>
          <w:sz w:val="20"/>
          <w:szCs w:val="20"/>
        </w:rPr>
        <w:t xml:space="preserve">Steuerberater partner referral programme</w:t>
      </w:r>
    </w:p>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14. Competitive Landscape</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c>
          <w:tcPr>
            <w:tcW w:type="dxa" w:w="24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Competitor</w:t>
            </w:r>
          </w:p>
        </w:tc>
        <w:tc>
          <w:tcPr>
            <w:tcW w:type="dxa" w:w="24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Gap vs KestKlar</w:t>
            </w:r>
          </w:p>
        </w:tc>
        <w:tc>
          <w:tcPr>
            <w:tcW w:type="dxa" w:w="4200"/>
            <w:tcBorders>
              <w:top w:val="single" w:color="DDDDDB" w:sz="1"/>
              <w:left w:val="single" w:color="DDDDDB" w:sz="1"/>
              <w:bottom w:val="single" w:color="DDDDDB" w:sz="1"/>
              <w:right w:val="single" w:color="DDDDDB" w:sz="1"/>
            </w:tcBorders>
            <w:shd w:fill="000000"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Tax-Wizard (tax-wizard.eu)</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Multi-country generic, English-first, no ÖEKB automation</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Closest competitor. Supports AT but not Austrian-first. Likely does not auto-fetch deemed distributions.</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AlphaConvert (alphaconvert.de)</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IBKR-only, no ÖEKB, German company</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Good IBKR parser for DE+AT. Single broker only. Technical audience, Excel output.</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Pfennigfuchser Excel template</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Manual spreadsheet, no automation</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Free community resource. Popular because nothing better exists. Proves demand.</w:t>
            </w:r>
          </w:p>
        </w:tc>
      </w:tr>
      <w:tr>
        <w:tc>
          <w:tcPr>
            <w:tcW w:type="dxa" w:w="2400"/>
            <w:tcBorders>
              <w:top w:val="single" w:color="DDDDDB" w:sz="1"/>
              <w:left w:val="single" w:color="DDDDDB" w:sz="1"/>
              <w:bottom w:val="single" w:color="DDDDDB" w:sz="1"/>
              <w:right w:val="single" w:color="DDDDDB" w:sz="1"/>
            </w:tcBorders>
            <w:shd w:fill="F5F5F3" w:val="clear"/>
            <w:tcMar>
              <w:top w:type="dxa" w:w="80"/>
              <w:left w:type="dxa" w:w="140"/>
              <w:bottom w:type="dxa" w:w="80"/>
              <w:right w:type="dxa" w:w="140"/>
            </w:tcMar>
          </w:tcPr>
          <w:p>
            <w:r>
              <w:rPr>
                <w:rFonts w:ascii="Arial" w:cs="Arial" w:eastAsia="Arial" w:hAnsi="Arial"/>
                <w:color w:val="000000"/>
                <w:sz w:val="18"/>
                <w:szCs w:val="18"/>
              </w:rPr>
              <w:t xml:space="preserve">Austrian tax advisors</w:t>
            </w:r>
          </w:p>
        </w:tc>
        <w:tc>
          <w:tcPr>
            <w:tcW w:type="dxa" w:w="24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€150–300/year, slow, manual</w:t>
            </w:r>
          </w:p>
        </w:tc>
        <w:tc>
          <w:tcPr>
            <w:tcW w:type="dxa" w:w="4200"/>
            <w:tcBorders>
              <w:top w:val="single" w:color="DDDDDB" w:sz="1"/>
              <w:left w:val="single" w:color="DDDDDB" w:sz="1"/>
              <w:bottom w:val="single" w:color="DDDDDB" w:sz="1"/>
              <w:right w:val="single" w:color="DDDDDB"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KestKlar is 10× cheaper and 50× faster for the calculation step. Advisors remain relevant for complex situations.</w:t>
            </w:r>
          </w:p>
        </w:tc>
      </w:tr>
    </w:tbl>
    <w:p>
      <w:pPr>
        <w:spacing w:after="120" w:before="80"/>
      </w:pPr>
      <w:r>
        <w:rPr>
          <w:rFonts w:ascii="Arial" w:cs="Arial" w:eastAsia="Arial" w:hAnsi="Arial"/>
          <w:color w:val="000000"/>
          <w:sz w:val="20"/>
          <w:szCs w:val="20"/>
        </w:rPr>
        <w:t xml:space="preserve">KestKlar's primary moat: ÖEKB automation. This is the step that takes most time, has the most errors, and that no automated tool currently handles. Ship this first.</w:t>
      </w:r>
    </w:p>
    <w:p>
      <w:pPr>
        <w:pBdr>
          <w:bottom w:val="single" w:color="DDDDDB" w:sz="4"/>
        </w:pBdr>
        <w:spacing w:after="200" w:before="200"/>
      </w:pPr>
      <w:r>
        <w:t xml:space="preserve"/>
      </w:r>
    </w:p>
    <w:p>
      <w:pPr>
        <w:pStyle w:val="Heading1"/>
        <w:spacing w:after="160" w:before="400"/>
      </w:pPr>
      <w:r>
        <w:rPr>
          <w:rFonts w:ascii="Arial" w:cs="Arial" w:eastAsia="Arial" w:hAnsi="Arial"/>
          <w:b/>
          <w:bCs/>
          <w:color w:val="000000"/>
          <w:sz w:val="32"/>
          <w:szCs w:val="32"/>
        </w:rPr>
        <w:t xml:space="preserve">Appendix: Key External References</w:t>
      </w:r>
    </w:p>
    <w:p>
      <w:pPr>
        <w:spacing w:after="120" w:before="0"/>
      </w:pPr>
      <w:r>
        <w:t xml:space="preserve"/>
      </w:r>
    </w:p>
    <w:p>
      <w:pPr>
        <w:pStyle w:val="ListParagraph"/>
        <w:numPr>
          <w:ilvl w:val="0"/>
          <w:numId w:val="2"/>
        </w:numPr>
        <w:spacing w:after="40" w:before="40"/>
      </w:pPr>
      <w:r>
        <w:rPr>
          <w:rFonts w:ascii="Arial" w:cs="Arial" w:eastAsia="Arial" w:hAnsi="Arial"/>
          <w:b/>
          <w:bCs/>
          <w:color w:val="000000"/>
          <w:sz w:val="20"/>
          <w:szCs w:val="20"/>
        </w:rPr>
        <w:t xml:space="preserve">BMF E1kv 2024 form: </w:t>
      </w:r>
      <w:r>
        <w:rPr>
          <w:rFonts w:ascii="Arial" w:cs="Arial" w:eastAsia="Arial" w:hAnsi="Arial"/>
          <w:color w:val="000000"/>
          <w:sz w:val="20"/>
          <w:szCs w:val="20"/>
        </w:rPr>
        <w:t xml:space="preserve">formulare.bmf.gv.at/service/formulare/inter-Steuern/pdfs/2024/E1kv.pdf</w:t>
      </w:r>
    </w:p>
    <w:p>
      <w:pPr>
        <w:pStyle w:val="ListParagraph"/>
        <w:numPr>
          <w:ilvl w:val="0"/>
          <w:numId w:val="2"/>
        </w:numPr>
        <w:spacing w:after="40" w:before="40"/>
      </w:pPr>
      <w:r>
        <w:rPr>
          <w:rFonts w:ascii="Arial" w:cs="Arial" w:eastAsia="Arial" w:hAnsi="Arial"/>
          <w:b/>
          <w:bCs/>
          <w:color w:val="000000"/>
          <w:sz w:val="20"/>
          <w:szCs w:val="20"/>
        </w:rPr>
        <w:t xml:space="preserve">ÖEKB fund tax data portal: </w:t>
      </w:r>
      <w:r>
        <w:rPr>
          <w:rFonts w:ascii="Arial" w:cs="Arial" w:eastAsia="Arial" w:hAnsi="Arial"/>
          <w:color w:val="000000"/>
          <w:sz w:val="20"/>
          <w:szCs w:val="20"/>
        </w:rPr>
        <w:t xml:space="preserve">my.oekb.at</w:t>
      </w:r>
    </w:p>
    <w:p>
      <w:pPr>
        <w:pStyle w:val="ListParagraph"/>
        <w:numPr>
          <w:ilvl w:val="0"/>
          <w:numId w:val="2"/>
        </w:numPr>
        <w:spacing w:after="40" w:before="40"/>
      </w:pPr>
      <w:r>
        <w:rPr>
          <w:rFonts w:ascii="Arial" w:cs="Arial" w:eastAsia="Arial" w:hAnsi="Arial"/>
          <w:b/>
          <w:bCs/>
          <w:color w:val="000000"/>
          <w:sz w:val="20"/>
          <w:szCs w:val="20"/>
        </w:rPr>
        <w:t xml:space="preserve">ECB exchange rates API: </w:t>
      </w:r>
      <w:r>
        <w:rPr>
          <w:rFonts w:ascii="Arial" w:cs="Arial" w:eastAsia="Arial" w:hAnsi="Arial"/>
          <w:color w:val="000000"/>
          <w:sz w:val="20"/>
          <w:szCs w:val="20"/>
        </w:rPr>
        <w:t xml:space="preserve">ecb.frankfurter.app</w:t>
      </w:r>
    </w:p>
    <w:p>
      <w:pPr>
        <w:pStyle w:val="ListParagraph"/>
        <w:numPr>
          <w:ilvl w:val="0"/>
          <w:numId w:val="2"/>
        </w:numPr>
        <w:spacing w:after="40" w:before="40"/>
      </w:pPr>
      <w:r>
        <w:rPr>
          <w:rFonts w:ascii="Arial" w:cs="Arial" w:eastAsia="Arial" w:hAnsi="Arial"/>
          <w:b/>
          <w:bCs/>
          <w:color w:val="000000"/>
          <w:sz w:val="20"/>
          <w:szCs w:val="20"/>
        </w:rPr>
        <w:t xml:space="preserve">BMF filing deadlines: </w:t>
      </w:r>
      <w:r>
        <w:rPr>
          <w:rFonts w:ascii="Arial" w:cs="Arial" w:eastAsia="Arial" w:hAnsi="Arial"/>
          <w:color w:val="000000"/>
          <w:sz w:val="20"/>
          <w:szCs w:val="20"/>
        </w:rPr>
        <w:t xml:space="preserve">bmf.gv.at/themen/steuern/fristen-verfahren/fristen-faelligkeiten.html</w:t>
      </w:r>
    </w:p>
    <w:p>
      <w:pPr>
        <w:pStyle w:val="ListParagraph"/>
        <w:numPr>
          <w:ilvl w:val="0"/>
          <w:numId w:val="2"/>
        </w:numPr>
        <w:spacing w:after="40" w:before="40"/>
      </w:pPr>
      <w:r>
        <w:rPr>
          <w:rFonts w:ascii="Arial" w:cs="Arial" w:eastAsia="Arial" w:hAnsi="Arial"/>
          <w:b/>
          <w:bCs/>
          <w:color w:val="000000"/>
          <w:sz w:val="20"/>
          <w:szCs w:val="20"/>
        </w:rPr>
        <w:t xml:space="preserve">Austrian KeSt on capital gains (BMF PDF): </w:t>
      </w:r>
      <w:r>
        <w:rPr>
          <w:rFonts w:ascii="Arial" w:cs="Arial" w:eastAsia="Arial" w:hAnsi="Arial"/>
          <w:color w:val="000000"/>
          <w:sz w:val="20"/>
          <w:szCs w:val="20"/>
        </w:rPr>
        <w:t xml:space="preserve">bmf.gv.at/dam/jcr:.../info_kest_kursgewinne.pdf</w:t>
      </w:r>
    </w:p>
    <w:sectPr>
      <w:headerReference w:type="default" r:id="rId7"/>
      <w:footerReference w:type="default" r:id="rId8"/>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B" w:sz="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B" w:sz="4"/>
      </w:pBdr>
    </w:pPr>
    <w:r>
      <w:rPr>
        <w:rFonts w:ascii="Arial" w:cs="Arial" w:eastAsia="Arial" w:hAnsi="Arial"/>
        <w:color w:val="888888"/>
        <w:sz w:val="16"/>
        <w:szCs w:val="16"/>
      </w:rPr>
      <w:t xml:space="preserve">KestKlar — Technical Architecture</w:t>
    </w:r>
    <w:r>
      <w:rPr>
        <w:rFonts w:ascii="Arial" w:cs="Arial" w:eastAsia="Arial" w:hAnsi="Arial"/>
        <w:color w:val="AAAAAA"/>
        <w:sz w:val="16"/>
        <w:szCs w:val="16"/>
      </w:rPr>
      <w:t xml:space="preserve">  ·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2026-05-03T18:16:49.830Z</dcterms:created>
  <dcterms:modified xsi:type="dcterms:W3CDTF">2026-05-03T18:16:49.830Z</dcterms:modified>
</cp:coreProperties>
</file>

<file path=docProps/custom.xml><?xml version="1.0" encoding="utf-8"?>
<Properties xmlns="http://schemas.openxmlformats.org/officeDocument/2006/custom-properties" xmlns:vt="http://schemas.openxmlformats.org/officeDocument/2006/docPropsVTypes"/>
</file>