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51252" w14:textId="03FC9189" w:rsidR="00F62A75" w:rsidRDefault="00F62A75" w:rsidP="00F62A75">
      <w:pPr>
        <w:pStyle w:val="Heading1"/>
      </w:pPr>
      <w:r>
        <w:t>Excel Homework: Kickstart My Chart</w:t>
      </w:r>
    </w:p>
    <w:p w14:paraId="26A27C81" w14:textId="5F599D4E" w:rsidR="00B6726B" w:rsidRDefault="00541F4C" w:rsidP="00EA3D1D">
      <w:pPr>
        <w:spacing w:before="100"/>
      </w:pPr>
      <w:r>
        <w:t xml:space="preserve">Kickstarter’s </w:t>
      </w:r>
      <w:r w:rsidR="00867DD8">
        <w:t xml:space="preserve">mission is to bring creative projects to life through its global </w:t>
      </w:r>
      <w:r w:rsidR="00170DF0">
        <w:t>crowdfunding service.</w:t>
      </w:r>
      <w:r w:rsidR="00A9359B">
        <w:t xml:space="preserve"> The service allows </w:t>
      </w:r>
      <w:r w:rsidR="00783C61">
        <w:t>creators</w:t>
      </w:r>
      <w:r w:rsidR="00C206EA">
        <w:t xml:space="preserve"> to have complete control of their work throughout the entire process by </w:t>
      </w:r>
      <w:r w:rsidR="00346E60">
        <w:t xml:space="preserve">eliminating the need of grants, donor or private investor. </w:t>
      </w:r>
      <w:r w:rsidR="00783C61">
        <w:t>Although</w:t>
      </w:r>
      <w:r w:rsidR="00346E60">
        <w:t xml:space="preserve"> starting</w:t>
      </w:r>
      <w:r w:rsidR="00783C61">
        <w:t xml:space="preserve"> a campaign is relatively easy, not all projects come to life. The following analysis is based on </w:t>
      </w:r>
      <w:r w:rsidR="00D855C0">
        <w:t xml:space="preserve">data from </w:t>
      </w:r>
      <w:r w:rsidR="00EA3D1D">
        <w:t xml:space="preserve">4,114 </w:t>
      </w:r>
      <w:r w:rsidR="00D855C0">
        <w:t>Kickstarter campaigns created between</w:t>
      </w:r>
      <w:r w:rsidR="00EA3D1D">
        <w:t xml:space="preserve"> May 2009 and March 2017.</w:t>
      </w:r>
    </w:p>
    <w:p w14:paraId="0BF4A3BD" w14:textId="0365C1F7" w:rsidR="00EA3D1D" w:rsidRDefault="00160885" w:rsidP="00EA3D1D">
      <w:pPr>
        <w:spacing w:before="100"/>
      </w:pPr>
      <w:r>
        <w:t xml:space="preserve">Based on the data provided, </w:t>
      </w:r>
      <w:r w:rsidR="00AF4788">
        <w:t xml:space="preserve">the following three </w:t>
      </w:r>
      <w:r w:rsidR="00456067">
        <w:t>conclusions</w:t>
      </w:r>
      <w:r w:rsidR="00AF4788">
        <w:t xml:space="preserve"> can be drawn about Kickstarter campaigns. </w:t>
      </w:r>
    </w:p>
    <w:p w14:paraId="7A22420C" w14:textId="02B51EB7" w:rsidR="003C746E" w:rsidRPr="003D060D" w:rsidRDefault="008F6B8C" w:rsidP="003C746E">
      <w:pPr>
        <w:pStyle w:val="ListParagraph"/>
        <w:numPr>
          <w:ilvl w:val="0"/>
          <w:numId w:val="1"/>
        </w:numPr>
        <w:spacing w:before="100"/>
      </w:pPr>
      <w:r>
        <w:t xml:space="preserve">The sample </w:t>
      </w:r>
      <w:r w:rsidR="00E87169">
        <w:t xml:space="preserve">data </w:t>
      </w:r>
      <w:r w:rsidR="00E87169" w:rsidRPr="003D060D">
        <w:t xml:space="preserve">provided shows </w:t>
      </w:r>
      <w:r w:rsidR="002265A1" w:rsidRPr="003D060D">
        <w:t xml:space="preserve">that </w:t>
      </w:r>
      <w:r w:rsidR="00F84C46" w:rsidRPr="003D060D">
        <w:t xml:space="preserve">the Theater Category </w:t>
      </w:r>
      <w:r w:rsidR="00904A16" w:rsidRPr="003D060D">
        <w:t>had the largest number of total Kickstarter campaigns</w:t>
      </w:r>
      <w:r w:rsidR="00677EE6" w:rsidRPr="003D060D">
        <w:t xml:space="preserve"> (1,393)</w:t>
      </w:r>
      <w:r w:rsidR="00904A16" w:rsidRPr="003D060D">
        <w:t xml:space="preserve"> as well as the largest number of successful campaigns</w:t>
      </w:r>
      <w:r w:rsidR="00677EE6" w:rsidRPr="003D060D">
        <w:t xml:space="preserve"> (839)</w:t>
      </w:r>
      <w:r w:rsidR="00904A16" w:rsidRPr="003D060D">
        <w:t xml:space="preserve">. However, on a </w:t>
      </w:r>
      <w:r w:rsidR="00A12AB8" w:rsidRPr="003D060D">
        <w:t xml:space="preserve">percentage basis, Music had the </w:t>
      </w:r>
      <w:r w:rsidR="003C654B" w:rsidRPr="003D060D">
        <w:t>b</w:t>
      </w:r>
      <w:r w:rsidR="00C245F9" w:rsidRPr="003D060D">
        <w:t>est</w:t>
      </w:r>
      <w:r w:rsidR="003C654B" w:rsidRPr="003D060D">
        <w:t xml:space="preserve"> success rate</w:t>
      </w:r>
      <w:r w:rsidR="00B30DE5" w:rsidRPr="003D060D">
        <w:t xml:space="preserve"> within their campaigns (77%).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79"/>
        <w:gridCol w:w="1328"/>
        <w:gridCol w:w="668"/>
        <w:gridCol w:w="881"/>
        <w:gridCol w:w="1206"/>
        <w:gridCol w:w="1494"/>
        <w:gridCol w:w="2194"/>
      </w:tblGrid>
      <w:tr w:rsidR="00C245F9" w:rsidRPr="003D060D" w14:paraId="28D186B5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2C5E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FCD9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DD7C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B0EB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FD29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0D46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082E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Percent Successful</w:t>
            </w:r>
          </w:p>
        </w:tc>
      </w:tr>
      <w:tr w:rsidR="00C245F9" w:rsidRPr="003D060D" w14:paraId="0A6A0F6F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97DD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theater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ACB0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A6A4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BF18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A335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F788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1393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EDA2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60%</w:t>
            </w:r>
          </w:p>
        </w:tc>
      </w:tr>
      <w:tr w:rsidR="00C245F9" w:rsidRPr="003D060D" w14:paraId="6C651EC3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D5EA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3B82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F1B3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2316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F2A3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236A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8F4B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77%</w:t>
            </w:r>
          </w:p>
        </w:tc>
      </w:tr>
      <w:tr w:rsidR="00C245F9" w:rsidRPr="003D060D" w14:paraId="08762FAE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1BF7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E01E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D5CF" w14:textId="783F5605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4A28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9FD8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0DF7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972C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35%</w:t>
            </w:r>
          </w:p>
        </w:tc>
      </w:tr>
      <w:tr w:rsidR="00C245F9" w:rsidRPr="00B30DE5" w14:paraId="1DCE6C14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DEA3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film &amp; video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D512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D122" w14:textId="30D3FFAB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C4AB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9A41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8A0D" w14:textId="77777777" w:rsidR="00B30DE5" w:rsidRPr="003D060D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F7C7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D06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58%</w:t>
            </w:r>
          </w:p>
        </w:tc>
      </w:tr>
      <w:tr w:rsidR="00C245F9" w:rsidRPr="00B30DE5" w14:paraId="14A66F56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0C7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publishing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ED5B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7CA6" w14:textId="500414B8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B5CF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A74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44C3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B631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34%</w:t>
            </w:r>
          </w:p>
        </w:tc>
      </w:tr>
      <w:tr w:rsidR="00C245F9" w:rsidRPr="00B30DE5" w14:paraId="13AA9DA3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018B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2064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6F92" w14:textId="479BA944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2CA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AD69" w14:textId="39B9680D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5057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EB9C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47%</w:t>
            </w:r>
          </w:p>
        </w:tc>
      </w:tr>
      <w:tr w:rsidR="00C245F9" w:rsidRPr="00B30DE5" w14:paraId="29E07BF2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2127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games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8BB8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CE4F" w14:textId="18D9861A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9CF1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BE25" w14:textId="6BFA62F1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36D5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555C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36%</w:t>
            </w:r>
          </w:p>
        </w:tc>
      </w:tr>
      <w:tr w:rsidR="00C245F9" w:rsidRPr="00B30DE5" w14:paraId="3BD9D714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BE5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F29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6267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DC70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986C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11A4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B970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17%</w:t>
            </w:r>
          </w:p>
        </w:tc>
      </w:tr>
      <w:tr w:rsidR="00C245F9" w:rsidRPr="00B30DE5" w14:paraId="092B03CB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E87E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journalism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F588" w14:textId="7FB2AD09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0806" w14:textId="04A52B48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88B3" w14:textId="4F7A2A1E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268C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BBCD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7360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245F9" w:rsidRPr="00B30DE5" w14:paraId="777CD233" w14:textId="77777777" w:rsidTr="00F07CCE">
        <w:trPr>
          <w:trHeight w:val="300"/>
          <w:jc w:val="center"/>
        </w:trPr>
        <w:tc>
          <w:tcPr>
            <w:tcW w:w="8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3506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FC74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9661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CF78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0C54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D559" w14:textId="77777777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30DE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4114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8136" w14:textId="1CAEAD3F" w:rsidR="00B30DE5" w:rsidRPr="00B30DE5" w:rsidRDefault="00B30DE5" w:rsidP="00B30DE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674C59B1" w14:textId="54F811F3" w:rsidR="00C245F9" w:rsidRDefault="001317B1" w:rsidP="003C746E">
      <w:pPr>
        <w:spacing w:before="100"/>
        <w:jc w:val="center"/>
      </w:pPr>
      <w:r>
        <w:rPr>
          <w:noProof/>
        </w:rPr>
        <w:drawing>
          <wp:inline distT="0" distB="0" distL="0" distR="0" wp14:anchorId="48354FDD" wp14:editId="543D5133">
            <wp:extent cx="5943600" cy="32004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6FD400-1A16-4749-87CD-9987F44A1E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8567FA" w14:textId="5C8AAE72" w:rsidR="00C82A54" w:rsidRDefault="00B07F6A" w:rsidP="00C245F9">
      <w:pPr>
        <w:pStyle w:val="ListParagraph"/>
        <w:numPr>
          <w:ilvl w:val="0"/>
          <w:numId w:val="1"/>
        </w:numPr>
        <w:spacing w:before="100"/>
      </w:pPr>
      <w:r>
        <w:lastRenderedPageBreak/>
        <w:t xml:space="preserve">The sample data set </w:t>
      </w:r>
      <w:r w:rsidR="0074352B">
        <w:t xml:space="preserve">indicates that, on average, campaigns have a </w:t>
      </w:r>
      <w:r w:rsidR="00D30DA8">
        <w:t xml:space="preserve">53% chance of being successful. When we analyze the data by the month in which the campaign was </w:t>
      </w:r>
      <w:r w:rsidR="00062791">
        <w:t>launched</w:t>
      </w:r>
      <w:r w:rsidR="00D30DA8">
        <w:t xml:space="preserve">, </w:t>
      </w:r>
      <w:r w:rsidR="00062791">
        <w:t xml:space="preserve">those that began in </w:t>
      </w:r>
      <w:r w:rsidR="00BF76AE">
        <w:t>April and May ha</w:t>
      </w:r>
      <w:r w:rsidR="00FC434B">
        <w:t>ve success rates well above the average (</w:t>
      </w:r>
      <w:r w:rsidR="00604D2F">
        <w:t xml:space="preserve">60% and 61% respectively), while </w:t>
      </w:r>
      <w:r w:rsidR="006F66ED">
        <w:t xml:space="preserve">those launched in December have the worst success rate, 8% below the average. </w:t>
      </w:r>
      <w:r w:rsidR="001317B1">
        <w:t>This conclusion includes the values for campaigns that are labeled as live.</w:t>
      </w:r>
    </w:p>
    <w:p w14:paraId="18957C6D" w14:textId="7E72C987" w:rsidR="00F31AA0" w:rsidRDefault="00F31AA0" w:rsidP="00F31AA0">
      <w:pPr>
        <w:spacing w:before="100"/>
      </w:pPr>
      <w:r>
        <w:rPr>
          <w:noProof/>
        </w:rPr>
        <w:drawing>
          <wp:inline distT="0" distB="0" distL="0" distR="0" wp14:anchorId="14AA4245" wp14:editId="1B923D10">
            <wp:extent cx="5943600" cy="32004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42BD936-8B11-4841-B81B-DBB7FA731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D4E5DC" w14:textId="77777777" w:rsidR="00C5678F" w:rsidRDefault="00C5678F" w:rsidP="00C5678F">
      <w:pPr>
        <w:pStyle w:val="ListParagraph"/>
        <w:spacing w:before="100"/>
        <w:ind w:left="360"/>
      </w:pPr>
    </w:p>
    <w:p w14:paraId="4037DE94" w14:textId="21C9FBFD" w:rsidR="00C245F9" w:rsidRDefault="00701214" w:rsidP="00C245F9">
      <w:pPr>
        <w:pStyle w:val="ListParagraph"/>
        <w:numPr>
          <w:ilvl w:val="0"/>
          <w:numId w:val="1"/>
        </w:numPr>
        <w:spacing w:before="100"/>
      </w:pPr>
      <w:r>
        <w:t xml:space="preserve">The larger the </w:t>
      </w:r>
      <w:r w:rsidR="00355864">
        <w:t>goal, the higher likelihood that a campaign fails or is canceled.</w:t>
      </w:r>
      <w:r w:rsidR="008D5BFA">
        <w:t xml:space="preserve"> By converting the line chart from the Bonus work into a stacked line chart, the trend is</w:t>
      </w:r>
      <w:r w:rsidR="001629EF">
        <w:t xml:space="preserve"> a bit </w:t>
      </w:r>
      <w:r w:rsidR="004A29CB">
        <w:t xml:space="preserve">clearer. </w:t>
      </w:r>
    </w:p>
    <w:p w14:paraId="01F6BEDA" w14:textId="38D726BD" w:rsidR="001629EF" w:rsidRDefault="00A76B50" w:rsidP="008A7152">
      <w:pPr>
        <w:spacing w:before="100"/>
      </w:pPr>
      <w:r>
        <w:rPr>
          <w:noProof/>
        </w:rPr>
        <w:drawing>
          <wp:inline distT="0" distB="0" distL="0" distR="0" wp14:anchorId="563BF869" wp14:editId="4F60E8D1">
            <wp:extent cx="5943600" cy="32004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249BBC5-DB9F-FE40-AFBD-173332FDCC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DE9CEC" w14:textId="1E56C600" w:rsidR="008A7152" w:rsidRDefault="008A7152" w:rsidP="008A7152">
      <w:pPr>
        <w:spacing w:before="100"/>
      </w:pPr>
      <w:r>
        <w:lastRenderedPageBreak/>
        <w:t>Some limitations of the data set provided include the following:</w:t>
      </w:r>
    </w:p>
    <w:p w14:paraId="1B5799E6" w14:textId="00623BB4" w:rsidR="008A7152" w:rsidRDefault="00D17B93" w:rsidP="008A7152">
      <w:pPr>
        <w:pStyle w:val="ListParagraph"/>
        <w:numPr>
          <w:ilvl w:val="0"/>
          <w:numId w:val="2"/>
        </w:numPr>
        <w:spacing w:before="100"/>
      </w:pPr>
      <w:r>
        <w:t xml:space="preserve">The 4,114 campaigns are only a small sample of all of the Kickstarter </w:t>
      </w:r>
      <w:r w:rsidR="00A03EA8">
        <w:t>campaigns</w:t>
      </w:r>
      <w:r>
        <w:t xml:space="preserve"> ever created</w:t>
      </w:r>
      <w:r w:rsidR="002F19BF">
        <w:t xml:space="preserve">, making these conclusions based on only a sample of the population. </w:t>
      </w:r>
    </w:p>
    <w:p w14:paraId="213C67CC" w14:textId="70B91F23" w:rsidR="00B30DE5" w:rsidRDefault="00D17B93" w:rsidP="00C245F9">
      <w:pPr>
        <w:pStyle w:val="ListParagraph"/>
        <w:numPr>
          <w:ilvl w:val="0"/>
          <w:numId w:val="2"/>
        </w:numPr>
        <w:spacing w:before="100"/>
      </w:pPr>
      <w:r>
        <w:t xml:space="preserve">The data set only includes campaigns created through 2017, there may have been a substantial change in the data trends since that time. </w:t>
      </w:r>
    </w:p>
    <w:p w14:paraId="08EC75B5" w14:textId="45513041" w:rsidR="009B5BE7" w:rsidRDefault="009B5BE7" w:rsidP="00C245F9">
      <w:pPr>
        <w:pStyle w:val="ListParagraph"/>
        <w:numPr>
          <w:ilvl w:val="0"/>
          <w:numId w:val="2"/>
        </w:numPr>
        <w:spacing w:before="100"/>
      </w:pPr>
      <w:r>
        <w:t xml:space="preserve">Over 70% of the campaigns within the data set </w:t>
      </w:r>
      <w:r w:rsidR="00A03EA8">
        <w:t xml:space="preserve">originated in the US, leaving only a small fraction of the sample as a global representation. </w:t>
      </w:r>
    </w:p>
    <w:p w14:paraId="077AEF74" w14:textId="77777777" w:rsidR="00975A1B" w:rsidRDefault="00975A1B" w:rsidP="00975A1B"/>
    <w:p w14:paraId="165BE36D" w14:textId="114B0E94" w:rsidR="006D580A" w:rsidRDefault="006D580A" w:rsidP="00975A1B">
      <w:r>
        <w:t>Some examples of additional charts and tables that would aid in the analysis of the data are:</w:t>
      </w:r>
    </w:p>
    <w:p w14:paraId="56B50FB1" w14:textId="5F7EB4B2" w:rsidR="006D580A" w:rsidRDefault="00A42422" w:rsidP="006D580A">
      <w:pPr>
        <w:pStyle w:val="ListParagraph"/>
        <w:numPr>
          <w:ilvl w:val="0"/>
          <w:numId w:val="3"/>
        </w:numPr>
        <w:spacing w:before="100"/>
      </w:pPr>
      <w:r>
        <w:t xml:space="preserve">A Pie chart showing the </w:t>
      </w:r>
      <w:r w:rsidR="00B40953">
        <w:t xml:space="preserve">breakout of </w:t>
      </w:r>
      <w:r w:rsidR="006C46EF">
        <w:t>successful, failed, canceled and live campaigns as a good visual representation of the sample data set.</w:t>
      </w:r>
    </w:p>
    <w:p w14:paraId="1AE6FB84" w14:textId="15AC1DF6" w:rsidR="006C46EF" w:rsidRDefault="006C46EF" w:rsidP="006D580A">
      <w:pPr>
        <w:pStyle w:val="ListParagraph"/>
        <w:numPr>
          <w:ilvl w:val="0"/>
          <w:numId w:val="3"/>
        </w:numPr>
        <w:spacing w:before="100"/>
      </w:pPr>
      <w:r>
        <w:t xml:space="preserve">A histogram of the number of backers for successful campaigns as well as a similar chart for unsuccessful campaigns. A box and whisker plot would summarize this data </w:t>
      </w:r>
      <w:r w:rsidR="003800D7">
        <w:t>concisely as well.</w:t>
      </w:r>
    </w:p>
    <w:p w14:paraId="64892E3E" w14:textId="070630B3" w:rsidR="006C46EF" w:rsidRDefault="006C46EF" w:rsidP="006D580A">
      <w:pPr>
        <w:pStyle w:val="ListParagraph"/>
        <w:numPr>
          <w:ilvl w:val="0"/>
          <w:numId w:val="3"/>
        </w:numPr>
        <w:spacing w:before="100"/>
      </w:pPr>
      <w:r>
        <w:t>A Pivot Table of the state of a campaign on the columns and country of origin on the rows.</w:t>
      </w:r>
    </w:p>
    <w:p w14:paraId="1386FDB3" w14:textId="2CD6859A" w:rsidR="003800D7" w:rsidRDefault="003800D7" w:rsidP="006D580A">
      <w:pPr>
        <w:pStyle w:val="ListParagraph"/>
        <w:numPr>
          <w:ilvl w:val="0"/>
          <w:numId w:val="3"/>
        </w:numPr>
        <w:spacing w:before="100"/>
      </w:pPr>
      <w:r>
        <w:t>A line graph showing how average donations have changed overtime in order to pinpoint specific instances where greater economic factors may have influenced the donation amounts and its impact to a campaign’s success or failure.</w:t>
      </w:r>
    </w:p>
    <w:p w14:paraId="72136BFC" w14:textId="77777777" w:rsidR="00032BBC" w:rsidRDefault="00032BBC" w:rsidP="00032BBC"/>
    <w:p w14:paraId="3A28B60A" w14:textId="79BD2F99" w:rsidR="00812AEF" w:rsidRDefault="00032BBC" w:rsidP="00032BBC">
      <w:r>
        <w:t>Additional statistical analysis was done on the number of backers for both successful and failed campaigns in order to determine variability within each data set.</w:t>
      </w:r>
    </w:p>
    <w:p w14:paraId="69D7E835" w14:textId="1AF41B30" w:rsidR="00812AEF" w:rsidRDefault="00812AEF" w:rsidP="00032BBC"/>
    <w:p w14:paraId="21C3C36D" w14:textId="06093BDC" w:rsidR="00812AEF" w:rsidRDefault="003B49D9" w:rsidP="00032BBC">
      <w:r>
        <w:t>Below is the summary for various statistical calculations:</w:t>
      </w:r>
    </w:p>
    <w:p w14:paraId="2B4A2D0E" w14:textId="77777777" w:rsidR="003B49D9" w:rsidRDefault="003B49D9" w:rsidP="00032BBC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34"/>
        <w:gridCol w:w="2375"/>
        <w:gridCol w:w="1952"/>
      </w:tblGrid>
      <w:tr w:rsidR="00936F1F" w:rsidRPr="008607D0" w14:paraId="638E405F" w14:textId="77777777" w:rsidTr="005E26E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41CD" w14:textId="50376443" w:rsidR="005E26E1" w:rsidRPr="005E26E1" w:rsidRDefault="00936F1F" w:rsidP="00936F1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07D0">
              <w:rPr>
                <w:rFonts w:ascii="Calibri" w:eastAsia="Times New Roman" w:hAnsi="Calibri" w:cs="Calibri"/>
                <w:b/>
                <w:bCs/>
                <w:color w:val="000000"/>
              </w:rPr>
              <w:t>Statistical Measures of Number of Backers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2B6B" w14:textId="08328EE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26E1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  <w:r w:rsidR="00936F1F" w:rsidRPr="008607D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Campaigns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6876" w14:textId="5794633D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26E1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  <w:r w:rsidR="00936F1F" w:rsidRPr="008607D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Campaigns</w:t>
            </w:r>
          </w:p>
        </w:tc>
      </w:tr>
      <w:tr w:rsidR="00936F1F" w:rsidRPr="008607D0" w14:paraId="6E259F06" w14:textId="77777777" w:rsidTr="005E26E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5D9E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5FD2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EAEF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936F1F" w:rsidRPr="008607D0" w14:paraId="59758E54" w14:textId="77777777" w:rsidTr="005E26E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9EF8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583F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6604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36F1F" w:rsidRPr="008607D0" w14:paraId="487A6C22" w14:textId="77777777" w:rsidTr="005E26E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156B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68BD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DD59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36F1F" w:rsidRPr="008607D0" w14:paraId="6D3F8D90" w14:textId="77777777" w:rsidTr="005E26E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3529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3371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26457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762E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</w:tr>
      <w:tr w:rsidR="00936F1F" w:rsidRPr="008607D0" w14:paraId="28446AF2" w14:textId="77777777" w:rsidTr="005E26E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B8C3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D698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712841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898B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3773</w:t>
            </w:r>
          </w:p>
        </w:tc>
      </w:tr>
      <w:tr w:rsidR="00936F1F" w:rsidRPr="008607D0" w14:paraId="49FFD895" w14:textId="77777777" w:rsidTr="005E26E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8A66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45A4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9592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936F1F" w:rsidRPr="008607D0" w14:paraId="5CAC3406" w14:textId="77777777" w:rsidTr="005E26E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9E19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1A58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26456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8625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</w:tr>
      <w:tr w:rsidR="00936F1F" w:rsidRPr="008607D0" w14:paraId="6923F8BB" w14:textId="77777777" w:rsidTr="005E26E1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2E4C8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Campaigns with Less Backers than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6DC7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1789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29B5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1247</w:t>
            </w:r>
          </w:p>
        </w:tc>
      </w:tr>
      <w:tr w:rsidR="00936F1F" w:rsidRPr="008607D0" w14:paraId="7B611392" w14:textId="77777777" w:rsidTr="005E26E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15BF" w14:textId="538E39E4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 xml:space="preserve">Number </w:t>
            </w:r>
            <w:r w:rsidR="00936F1F" w:rsidRPr="008607D0">
              <w:rPr>
                <w:rFonts w:ascii="Calibri" w:eastAsia="Times New Roman" w:hAnsi="Calibri" w:cs="Calibri"/>
                <w:color w:val="000000"/>
              </w:rPr>
              <w:t>of Campaigns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04DF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2185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B99B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1530</w:t>
            </w:r>
          </w:p>
        </w:tc>
      </w:tr>
      <w:tr w:rsidR="00936F1F" w:rsidRPr="008607D0" w14:paraId="31FC35C8" w14:textId="77777777" w:rsidTr="005E26E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C4F2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Percent of Campaigns Below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49F6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383D" w14:textId="77777777" w:rsidR="005E26E1" w:rsidRPr="005E26E1" w:rsidRDefault="005E26E1" w:rsidP="00936F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6E1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</w:tr>
    </w:tbl>
    <w:p w14:paraId="00A0B576" w14:textId="7469E023" w:rsidR="003B49D9" w:rsidRDefault="003B49D9" w:rsidP="00032BBC"/>
    <w:p w14:paraId="1CC894F4" w14:textId="729F0675" w:rsidR="003B49D9" w:rsidRDefault="003B49D9" w:rsidP="00032BBC">
      <w:r>
        <w:t xml:space="preserve">Based on the </w:t>
      </w:r>
      <w:r w:rsidR="00B503C6">
        <w:t xml:space="preserve">calculated mean and median for both the successful and the failed campaigns, it appears as though the median is a better measure of central tendency because of the variability within the data. </w:t>
      </w:r>
      <w:r w:rsidR="00C66CAC">
        <w:t xml:space="preserve">In both campaign states, the calculated mean value is greater than 82% of </w:t>
      </w:r>
      <w:r w:rsidR="008607D0">
        <w:t>the number of backers for each campaign, while the mean lies in the exact center of the data sets</w:t>
      </w:r>
      <w:r w:rsidR="0083503B">
        <w:t xml:space="preserve"> and disregards major outliers on either end.</w:t>
      </w:r>
    </w:p>
    <w:p w14:paraId="59C7BC53" w14:textId="77777777" w:rsidR="0083503B" w:rsidRDefault="0083503B" w:rsidP="00032BBC"/>
    <w:p w14:paraId="03275306" w14:textId="45E7BB26" w:rsidR="008607D0" w:rsidRDefault="006B46E0" w:rsidP="00032BBC">
      <w:r>
        <w:lastRenderedPageBreak/>
        <w:t>When looking at the standard deviation calculations for both data sets, there is a larger spread, or more variability, within successful campaigns. The Standard Deviation</w:t>
      </w:r>
      <w:r w:rsidR="004B018A">
        <w:t xml:space="preserve"> is a measure of spread of the data </w:t>
      </w:r>
      <w:r w:rsidR="00B0185D">
        <w:t>around the mean</w:t>
      </w:r>
      <w:r w:rsidR="007B4473">
        <w:t xml:space="preserve">, which is </w:t>
      </w:r>
      <w:r w:rsidR="00A606B4">
        <w:t>skewed by outliers within the sample. It makes sense that there is more variability with successful campaigns as</w:t>
      </w:r>
      <w:r w:rsidR="009A2EFE">
        <w:t xml:space="preserve"> </w:t>
      </w:r>
      <w:r w:rsidR="00625FB6">
        <w:t xml:space="preserve">a campaign </w:t>
      </w:r>
      <w:r w:rsidR="00BA4EC2">
        <w:t>can be considered</w:t>
      </w:r>
      <w:r w:rsidR="00532DB5">
        <w:t xml:space="preserve"> successful</w:t>
      </w:r>
      <w:r w:rsidR="00BA4EC2">
        <w:t xml:space="preserve"> by merely meeting their goal or exceeding it by </w:t>
      </w:r>
      <w:r w:rsidR="00E77996">
        <w:t>an order of magnitude.</w:t>
      </w:r>
      <w:r w:rsidR="0052494B">
        <w:t xml:space="preserve"> Meaning that successful campaigns have a lower bound </w:t>
      </w:r>
      <w:r w:rsidR="000C415C">
        <w:t>described by</w:t>
      </w:r>
      <w:r w:rsidR="0052494B">
        <w:t xml:space="preserve"> their </w:t>
      </w:r>
      <w:r w:rsidR="00265B6E">
        <w:t>goal but</w:t>
      </w:r>
      <w:r w:rsidR="0052494B">
        <w:t xml:space="preserve"> are unbound on the higher end</w:t>
      </w:r>
      <w:r w:rsidR="00B53529">
        <w:t>.</w:t>
      </w:r>
      <w:r w:rsidR="00E77996">
        <w:t xml:space="preserve"> However, </w:t>
      </w:r>
      <w:r w:rsidR="00532DB5">
        <w:t xml:space="preserve">failed campaigns are bound by a pledge amount of zero </w:t>
      </w:r>
      <w:r w:rsidR="00B53529">
        <w:t xml:space="preserve">up </w:t>
      </w:r>
      <w:r w:rsidR="00532DB5">
        <w:t>to the goal, limiting the</w:t>
      </w:r>
      <w:r w:rsidR="00B53529">
        <w:t xml:space="preserve"> range of the data. For this reason, the number of </w:t>
      </w:r>
      <w:r w:rsidR="00265B6E">
        <w:t>backers</w:t>
      </w:r>
      <w:r w:rsidR="00B53529">
        <w:t xml:space="preserve"> within the successful campaigns has a larger degree of variability. </w:t>
      </w:r>
    </w:p>
    <w:p w14:paraId="705D6194" w14:textId="4975582E" w:rsidR="008607D0" w:rsidRDefault="008607D0" w:rsidP="00032BBC"/>
    <w:p w14:paraId="35C4B640" w14:textId="77777777" w:rsidR="008607D0" w:rsidRDefault="008607D0" w:rsidP="00032BBC"/>
    <w:sectPr w:rsidR="008607D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896C2" w14:textId="77777777" w:rsidR="002303E4" w:rsidRDefault="002303E4" w:rsidP="002303E4">
      <w:r>
        <w:separator/>
      </w:r>
    </w:p>
  </w:endnote>
  <w:endnote w:type="continuationSeparator" w:id="0">
    <w:p w14:paraId="04FFAA10" w14:textId="77777777" w:rsidR="002303E4" w:rsidRDefault="002303E4" w:rsidP="00230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ADE62" w14:textId="77777777" w:rsidR="002303E4" w:rsidRDefault="002303E4" w:rsidP="002303E4">
      <w:r>
        <w:separator/>
      </w:r>
    </w:p>
  </w:footnote>
  <w:footnote w:type="continuationSeparator" w:id="0">
    <w:p w14:paraId="1470CF89" w14:textId="77777777" w:rsidR="002303E4" w:rsidRDefault="002303E4" w:rsidP="00230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3B7B4" w14:textId="5F712C98" w:rsidR="006E2666" w:rsidRDefault="006E2666">
    <w:pPr>
      <w:pStyle w:val="Header"/>
    </w:pPr>
    <w:r>
      <w:t>David Jimenez</w:t>
    </w:r>
    <w:r>
      <w:ptab w:relativeTo="margin" w:alignment="center" w:leader="none"/>
    </w:r>
    <w:r>
      <w:t>Data Analytics Bootcamp: Homework 1</w:t>
    </w:r>
    <w:r>
      <w:ptab w:relativeTo="margin" w:alignment="right" w:leader="none"/>
    </w:r>
    <w:r>
      <w:t>December 12,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487B"/>
    <w:multiLevelType w:val="hybridMultilevel"/>
    <w:tmpl w:val="D066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2F07DE"/>
    <w:multiLevelType w:val="hybridMultilevel"/>
    <w:tmpl w:val="0A8C0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7C352B"/>
    <w:multiLevelType w:val="hybridMultilevel"/>
    <w:tmpl w:val="7D94F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6B"/>
    <w:rsid w:val="00001863"/>
    <w:rsid w:val="00017DAE"/>
    <w:rsid w:val="00032BBC"/>
    <w:rsid w:val="00062791"/>
    <w:rsid w:val="000C415C"/>
    <w:rsid w:val="00110D68"/>
    <w:rsid w:val="001317B1"/>
    <w:rsid w:val="00160885"/>
    <w:rsid w:val="001629EF"/>
    <w:rsid w:val="00170DF0"/>
    <w:rsid w:val="001936B6"/>
    <w:rsid w:val="002265A1"/>
    <w:rsid w:val="002303E4"/>
    <w:rsid w:val="00265B6E"/>
    <w:rsid w:val="00265F4A"/>
    <w:rsid w:val="002F19BF"/>
    <w:rsid w:val="002F4F28"/>
    <w:rsid w:val="00346E60"/>
    <w:rsid w:val="00355864"/>
    <w:rsid w:val="00365860"/>
    <w:rsid w:val="003800D7"/>
    <w:rsid w:val="003840D8"/>
    <w:rsid w:val="00392B56"/>
    <w:rsid w:val="003B49D9"/>
    <w:rsid w:val="003C654B"/>
    <w:rsid w:val="003C746E"/>
    <w:rsid w:val="003D060D"/>
    <w:rsid w:val="003D5B7B"/>
    <w:rsid w:val="0042039C"/>
    <w:rsid w:val="00442FBF"/>
    <w:rsid w:val="00456067"/>
    <w:rsid w:val="0049678B"/>
    <w:rsid w:val="004A29CB"/>
    <w:rsid w:val="004B018A"/>
    <w:rsid w:val="0052494B"/>
    <w:rsid w:val="00532DB5"/>
    <w:rsid w:val="00541F4C"/>
    <w:rsid w:val="00593DC9"/>
    <w:rsid w:val="005E26E1"/>
    <w:rsid w:val="00604D2F"/>
    <w:rsid w:val="00625FB6"/>
    <w:rsid w:val="00677EE6"/>
    <w:rsid w:val="006B46E0"/>
    <w:rsid w:val="006C46EF"/>
    <w:rsid w:val="006D580A"/>
    <w:rsid w:val="006E2666"/>
    <w:rsid w:val="006F66ED"/>
    <w:rsid w:val="00701214"/>
    <w:rsid w:val="0074352B"/>
    <w:rsid w:val="00783C61"/>
    <w:rsid w:val="00793938"/>
    <w:rsid w:val="007B4473"/>
    <w:rsid w:val="00810C41"/>
    <w:rsid w:val="00812AEF"/>
    <w:rsid w:val="0083503B"/>
    <w:rsid w:val="008607D0"/>
    <w:rsid w:val="00867DD8"/>
    <w:rsid w:val="008A3056"/>
    <w:rsid w:val="008A7152"/>
    <w:rsid w:val="008D5BFA"/>
    <w:rsid w:val="008F6B8C"/>
    <w:rsid w:val="00904A16"/>
    <w:rsid w:val="00936F1F"/>
    <w:rsid w:val="00975A1B"/>
    <w:rsid w:val="009A2EFE"/>
    <w:rsid w:val="009B5BE7"/>
    <w:rsid w:val="00A03EA8"/>
    <w:rsid w:val="00A103EA"/>
    <w:rsid w:val="00A12AB8"/>
    <w:rsid w:val="00A42422"/>
    <w:rsid w:val="00A606B4"/>
    <w:rsid w:val="00A76B50"/>
    <w:rsid w:val="00A9359B"/>
    <w:rsid w:val="00AF4788"/>
    <w:rsid w:val="00B0185D"/>
    <w:rsid w:val="00B07F6A"/>
    <w:rsid w:val="00B30DE5"/>
    <w:rsid w:val="00B40953"/>
    <w:rsid w:val="00B42BA5"/>
    <w:rsid w:val="00B503C6"/>
    <w:rsid w:val="00B53529"/>
    <w:rsid w:val="00B6726B"/>
    <w:rsid w:val="00B7010F"/>
    <w:rsid w:val="00BA4EC2"/>
    <w:rsid w:val="00BF76AE"/>
    <w:rsid w:val="00C206EA"/>
    <w:rsid w:val="00C245F9"/>
    <w:rsid w:val="00C5678F"/>
    <w:rsid w:val="00C66CAC"/>
    <w:rsid w:val="00C82A54"/>
    <w:rsid w:val="00C8493C"/>
    <w:rsid w:val="00D01ECD"/>
    <w:rsid w:val="00D17B93"/>
    <w:rsid w:val="00D30DA8"/>
    <w:rsid w:val="00D855C0"/>
    <w:rsid w:val="00E77996"/>
    <w:rsid w:val="00E87169"/>
    <w:rsid w:val="00EA2E80"/>
    <w:rsid w:val="00EA3D1D"/>
    <w:rsid w:val="00EE4A93"/>
    <w:rsid w:val="00F07CCE"/>
    <w:rsid w:val="00F31AA0"/>
    <w:rsid w:val="00F464BC"/>
    <w:rsid w:val="00F56931"/>
    <w:rsid w:val="00F62A75"/>
    <w:rsid w:val="00F84C46"/>
    <w:rsid w:val="00FC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57B96"/>
  <w15:chartTrackingRefBased/>
  <w15:docId w15:val="{FFC5E5A5-18E9-4F4C-993A-615C757A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3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3E4"/>
  </w:style>
  <w:style w:type="paragraph" w:styleId="Footer">
    <w:name w:val="footer"/>
    <w:basedOn w:val="Normal"/>
    <w:link w:val="FooterChar"/>
    <w:uiPriority w:val="99"/>
    <w:unhideWhenUsed/>
    <w:rsid w:val="002303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3E4"/>
  </w:style>
  <w:style w:type="character" w:customStyle="1" w:styleId="Heading1Char">
    <w:name w:val="Heading 1 Char"/>
    <w:basedOn w:val="DefaultParagraphFont"/>
    <w:link w:val="Heading1"/>
    <w:uiPriority w:val="9"/>
    <w:rsid w:val="00F62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b7c573c0b1390ce/Education/Data_Analytics_Bootcamp/Homework/01-Excel/Homework_1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b7c573c0b1390ce/Education/Data_Analytics_Bootcamp/Homework/01-Excel/Homework_1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b7c573c0b1390ce/Education/Data_Analytics_Bootcamp/Homework/01-Excel/Homework_1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[StarterBook.xlsx]State by Category!PivotTable1</c:name>
    <c:fmtId val="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 State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2633521771317049"/>
          <c:y val="0.14279443665432232"/>
          <c:w val="0.85382966552257888"/>
          <c:h val="0.51706306403480395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'State by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'State by Category'!$A$5:$A$14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'State by Category'!$B$5:$B$14</c:f>
              <c:numCache>
                <c:formatCode>General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209</c:v>
                </c:pt>
                <c:pt idx="3">
                  <c:v>300</c:v>
                </c:pt>
                <c:pt idx="4">
                  <c:v>80</c:v>
                </c:pt>
                <c:pt idx="5">
                  <c:v>103</c:v>
                </c:pt>
                <c:pt idx="6">
                  <c:v>80</c:v>
                </c:pt>
                <c:pt idx="7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B0-F44C-8CF0-BF6AB7B2D608}"/>
            </c:ext>
          </c:extLst>
        </c:ser>
        <c:ser>
          <c:idx val="1"/>
          <c:order val="1"/>
          <c:tx>
            <c:strRef>
              <c:f>'State by Category'!$C$3:$C$4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'State by Category'!$A$5:$A$14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'State by Category'!$C$5:$C$14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B0-F44C-8CF0-BF6AB7B2D608}"/>
            </c:ext>
          </c:extLst>
        </c:ser>
        <c:ser>
          <c:idx val="2"/>
          <c:order val="2"/>
          <c:tx>
            <c:strRef>
              <c:f>'State by Category'!$D$3:$D$4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'State by Category'!$A$5:$A$14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'State by Category'!$D$5:$D$14</c:f>
              <c:numCache>
                <c:formatCode>General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213</c:v>
                </c:pt>
                <c:pt idx="3">
                  <c:v>180</c:v>
                </c:pt>
                <c:pt idx="4">
                  <c:v>127</c:v>
                </c:pt>
                <c:pt idx="5">
                  <c:v>117</c:v>
                </c:pt>
                <c:pt idx="6">
                  <c:v>140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B0-F44C-8CF0-BF6AB7B2D608}"/>
            </c:ext>
          </c:extLst>
        </c:ser>
        <c:ser>
          <c:idx val="3"/>
          <c:order val="3"/>
          <c:tx>
            <c:strRef>
              <c:f>'State by Category'!$E$3:$E$4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'State by Category'!$A$5:$A$14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'State by Category'!$E$5:$E$14</c:f>
              <c:numCache>
                <c:formatCode>General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178</c:v>
                </c:pt>
                <c:pt idx="3">
                  <c:v>40</c:v>
                </c:pt>
                <c:pt idx="4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5B0-F44C-8CF0-BF6AB7B2D6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overlap val="100"/>
        <c:axId val="163762544"/>
        <c:axId val="221622928"/>
      </c:barChart>
      <c:catAx>
        <c:axId val="163762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layout>
            <c:manualLayout>
              <c:xMode val="edge"/>
              <c:yMode val="edge"/>
              <c:x val="0.48543475334813918"/>
              <c:y val="0.89563992857057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622928"/>
        <c:crosses val="autoZero"/>
        <c:auto val="1"/>
        <c:lblAlgn val="ctr"/>
        <c:lblOffset val="100"/>
        <c:noMultiLvlLbl val="0"/>
      </c:catAx>
      <c:valAx>
        <c:axId val="221622928"/>
        <c:scaling>
          <c:orientation val="minMax"/>
          <c:max val="1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76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173245171276659"/>
          <c:y val="0.21477037116935727"/>
          <c:w val="0.36489328428703671"/>
          <c:h val="0.16055142079842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chemeClr val="tx1"/>
          </a:solidFill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Successful Campaigns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718672185207619"/>
          <c:y val="0.14816255471398773"/>
          <c:w val="0.7402846759539673"/>
          <c:h val="0.612186655110312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'Extra Analysis'!$B$1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'Extra Analysis'!$A$2:$A$13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'Extra Analysis'!$B$2:$B$13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38-EA49-B356-D3E05FFEF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2465552"/>
        <c:axId val="252495840"/>
      </c:barChart>
      <c:lineChart>
        <c:grouping val="standard"/>
        <c:varyColors val="0"/>
        <c:ser>
          <c:idx val="1"/>
          <c:order val="1"/>
          <c:tx>
            <c:strRef>
              <c:f>'Extra Analysis'!$G$1</c:f>
              <c:strCache>
                <c:ptCount val="1"/>
                <c:pt idx="0">
                  <c:v>Percent Successful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'Extra Analysis'!$A$2:$A$13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'Extra Analysis'!$G$2:$G$13</c:f>
              <c:numCache>
                <c:formatCode>0%</c:formatCode>
                <c:ptCount val="12"/>
                <c:pt idx="0">
                  <c:v>0.49591280653950953</c:v>
                </c:pt>
                <c:pt idx="1">
                  <c:v>0.57223796033994334</c:v>
                </c:pt>
                <c:pt idx="2">
                  <c:v>0.52023121387283233</c:v>
                </c:pt>
                <c:pt idx="3">
                  <c:v>0.59813084112149528</c:v>
                </c:pt>
                <c:pt idx="4">
                  <c:v>0.60621761658031093</c:v>
                </c:pt>
                <c:pt idx="5">
                  <c:v>0.54805194805194801</c:v>
                </c:pt>
                <c:pt idx="6">
                  <c:v>0.50129198966408273</c:v>
                </c:pt>
                <c:pt idx="7">
                  <c:v>0.49849849849849848</c:v>
                </c:pt>
                <c:pt idx="8">
                  <c:v>0.49328859060402686</c:v>
                </c:pt>
                <c:pt idx="9">
                  <c:v>0.51988636363636365</c:v>
                </c:pt>
                <c:pt idx="10">
                  <c:v>0.54790419161676651</c:v>
                </c:pt>
                <c:pt idx="11">
                  <c:v>0.44047619047619047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38-EA49-B356-D3E05FFEF19D}"/>
            </c:ext>
          </c:extLst>
        </c:ser>
        <c:ser>
          <c:idx val="2"/>
          <c:order val="2"/>
          <c:tx>
            <c:strRef>
              <c:f>'Extra Analysis'!$H$1</c:f>
              <c:strCache>
                <c:ptCount val="1"/>
                <c:pt idx="0">
                  <c:v>Average Success Rate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'Extra Analysis'!$H$2:$H$13</c:f>
              <c:numCache>
                <c:formatCode>0%</c:formatCode>
                <c:ptCount val="12"/>
                <c:pt idx="0">
                  <c:v>0.52851068425016401</c:v>
                </c:pt>
                <c:pt idx="1">
                  <c:v>0.52851068425016401</c:v>
                </c:pt>
                <c:pt idx="2">
                  <c:v>0.52851068425016401</c:v>
                </c:pt>
                <c:pt idx="3">
                  <c:v>0.52851068425016401</c:v>
                </c:pt>
                <c:pt idx="4">
                  <c:v>0.52851068425016401</c:v>
                </c:pt>
                <c:pt idx="5">
                  <c:v>0.52851068425016401</c:v>
                </c:pt>
                <c:pt idx="6">
                  <c:v>0.52851068425016401</c:v>
                </c:pt>
                <c:pt idx="7">
                  <c:v>0.52851068425016401</c:v>
                </c:pt>
                <c:pt idx="8">
                  <c:v>0.52851068425016401</c:v>
                </c:pt>
                <c:pt idx="9">
                  <c:v>0.52851068425016401</c:v>
                </c:pt>
                <c:pt idx="10">
                  <c:v>0.52851068425016401</c:v>
                </c:pt>
                <c:pt idx="11">
                  <c:v>0.52851068425016401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38-EA49-B356-D3E05FFEF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0091104"/>
        <c:axId val="270088080"/>
      </c:lineChart>
      <c:catAx>
        <c:axId val="252465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495840"/>
        <c:crosses val="autoZero"/>
        <c:auto val="1"/>
        <c:lblAlgn val="ctr"/>
        <c:lblOffset val="100"/>
        <c:noMultiLvlLbl val="0"/>
      </c:catAx>
      <c:valAx>
        <c:axId val="25249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Successful 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465552"/>
        <c:crosses val="autoZero"/>
        <c:crossBetween val="between"/>
      </c:valAx>
      <c:valAx>
        <c:axId val="27008808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Success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091104"/>
        <c:crosses val="max"/>
        <c:crossBetween val="between"/>
      </c:valAx>
      <c:catAx>
        <c:axId val="2700911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7008808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 Percentage by Bin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2"/>
          <c:order val="0"/>
          <c:tx>
            <c:strRef>
              <c:f>'Extra Analysis'!$J$32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'Extra Analysis'!$C$33:$C$44</c:f>
              <c:strCache>
                <c:ptCount val="12"/>
                <c:pt idx="0">
                  <c:v>&lt;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&gt;= 50000</c:v>
                </c:pt>
              </c:strCache>
            </c:strRef>
          </c:cat>
          <c:val>
            <c:numRef>
              <c:f>'Extra Analysis'!$J$33:$J$44</c:f>
              <c:numCache>
                <c:formatCode>0%</c:formatCode>
                <c:ptCount val="12"/>
                <c:pt idx="0">
                  <c:v>0.04</c:v>
                </c:pt>
                <c:pt idx="1">
                  <c:v>0.04</c:v>
                </c:pt>
                <c:pt idx="2">
                  <c:v>7.0000000000000007E-2</c:v>
                </c:pt>
                <c:pt idx="3">
                  <c:v>0.11</c:v>
                </c:pt>
                <c:pt idx="4">
                  <c:v>0.08</c:v>
                </c:pt>
                <c:pt idx="5">
                  <c:v>0.09</c:v>
                </c:pt>
                <c:pt idx="6">
                  <c:v>0.13</c:v>
                </c:pt>
                <c:pt idx="7">
                  <c:v>0.16</c:v>
                </c:pt>
                <c:pt idx="8">
                  <c:v>0.13</c:v>
                </c:pt>
                <c:pt idx="9">
                  <c:v>0.14000000000000001</c:v>
                </c:pt>
                <c:pt idx="10">
                  <c:v>0.19</c:v>
                </c:pt>
                <c:pt idx="11">
                  <c:v>0.23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F7-6F44-AE00-B1310DC69E69}"/>
            </c:ext>
          </c:extLst>
        </c:ser>
        <c:ser>
          <c:idx val="1"/>
          <c:order val="1"/>
          <c:tx>
            <c:strRef>
              <c:f>'Extra Analysis'!$I$32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'Extra Analysis'!$C$33:$C$44</c:f>
              <c:strCache>
                <c:ptCount val="12"/>
                <c:pt idx="0">
                  <c:v>&lt;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&gt;= 50000</c:v>
                </c:pt>
              </c:strCache>
            </c:strRef>
          </c:cat>
          <c:val>
            <c:numRef>
              <c:f>'Extra Analysis'!$I$33:$I$44</c:f>
              <c:numCache>
                <c:formatCode>0%</c:formatCode>
                <c:ptCount val="12"/>
                <c:pt idx="0">
                  <c:v>0.25</c:v>
                </c:pt>
                <c:pt idx="1">
                  <c:v>0.3</c:v>
                </c:pt>
                <c:pt idx="2">
                  <c:v>0.4</c:v>
                </c:pt>
                <c:pt idx="3">
                  <c:v>0.41</c:v>
                </c:pt>
                <c:pt idx="4">
                  <c:v>0.45</c:v>
                </c:pt>
                <c:pt idx="5">
                  <c:v>0.49</c:v>
                </c:pt>
                <c:pt idx="6">
                  <c:v>0.47</c:v>
                </c:pt>
                <c:pt idx="7">
                  <c:v>0.45</c:v>
                </c:pt>
                <c:pt idx="8">
                  <c:v>0.4</c:v>
                </c:pt>
                <c:pt idx="9">
                  <c:v>0.37</c:v>
                </c:pt>
                <c:pt idx="10">
                  <c:v>0.52</c:v>
                </c:pt>
                <c:pt idx="11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F7-6F44-AE00-B1310DC69E69}"/>
            </c:ext>
          </c:extLst>
        </c:ser>
        <c:ser>
          <c:idx val="0"/>
          <c:order val="2"/>
          <c:tx>
            <c:strRef>
              <c:f>'Extra Analysis'!$H$32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'Extra Analysis'!$C$33:$C$44</c:f>
              <c:strCache>
                <c:ptCount val="12"/>
                <c:pt idx="0">
                  <c:v>&lt;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&gt;= 50000</c:v>
                </c:pt>
              </c:strCache>
            </c:strRef>
          </c:cat>
          <c:val>
            <c:numRef>
              <c:f>'Extra Analysis'!$H$33:$H$44</c:f>
              <c:numCache>
                <c:formatCode>0%</c:formatCode>
                <c:ptCount val="12"/>
                <c:pt idx="0">
                  <c:v>0.71</c:v>
                </c:pt>
                <c:pt idx="1">
                  <c:v>0.66</c:v>
                </c:pt>
                <c:pt idx="2">
                  <c:v>0.53</c:v>
                </c:pt>
                <c:pt idx="3">
                  <c:v>0.48</c:v>
                </c:pt>
                <c:pt idx="4">
                  <c:v>0.47</c:v>
                </c:pt>
                <c:pt idx="5">
                  <c:v>0.42</c:v>
                </c:pt>
                <c:pt idx="6">
                  <c:v>0.4</c:v>
                </c:pt>
                <c:pt idx="7">
                  <c:v>0.39</c:v>
                </c:pt>
                <c:pt idx="8">
                  <c:v>0.47</c:v>
                </c:pt>
                <c:pt idx="9">
                  <c:v>0.49</c:v>
                </c:pt>
                <c:pt idx="10">
                  <c:v>0.28999999999999998</c:v>
                </c:pt>
                <c:pt idx="11">
                  <c:v>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F7-6F44-AE00-B1310DC69E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6722432"/>
        <c:axId val="636724528"/>
      </c:lineChart>
      <c:catAx>
        <c:axId val="636722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Goal 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724528"/>
        <c:crosses val="autoZero"/>
        <c:auto val="1"/>
        <c:lblAlgn val="ctr"/>
        <c:lblOffset val="100"/>
        <c:noMultiLvlLbl val="0"/>
      </c:catAx>
      <c:valAx>
        <c:axId val="63672452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  <a:r>
                  <a:rPr lang="en-US" baseline="0"/>
                  <a:t> Percentage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72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813</Words>
  <Characters>4021</Characters>
  <Application>Microsoft Office Word</Application>
  <DocSecurity>0</DocSecurity>
  <Lines>174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2020-12-09T22:00:00Z</dcterms:created>
  <dcterms:modified xsi:type="dcterms:W3CDTF">2020-12-09T22:00:00Z</dcterms:modified>
</cp:coreProperties>
</file>