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000000"/>
        </w:rPr>
        <w:t>Cross-Region Comparison and Overall Conclusions: Renewable Electricity Generation by Source across the Four U.S. Census Regions</w:t>
      </w:r>
    </w:p>
    <w:p>
      <w:pPr>
        <w:pStyle w:val="Subtitle"/>
        <w:jc w:val="center"/>
      </w:pPr>
      <w:r>
        <w:rPr>
          <w:rFonts w:ascii="Times New Roman" w:hAnsi="Times New Roman" w:eastAsia="Times New Roman" w:cs="Times New Roman"/>
          <w:color w:val="000000"/>
        </w:rPr>
        <w:t>Technical Report  |  South, Northeast, Midwest, West  |  U.S. EIA monthly net generation, January 2001 – July 2026</w:t>
      </w:r>
    </w:p>
    <w:p>
      <w:pPr>
        <w:pStyle w:val="Heading1"/>
      </w:pPr>
      <w:r>
        <w:rPr>
          <w:rFonts w:ascii="Times New Roman" w:hAnsi="Times New Roman" w:eastAsia="Times New Roman" w:cs="Times New Roman"/>
          <w:color w:val="000000"/>
        </w:rPr>
        <w:t>9. Cross-Region Comparison and Overall Conclusions</w:t>
      </w:r>
    </w:p>
    <w:p>
      <w:pPr>
        <w:jc w:val="both"/>
      </w:pPr>
      <w:r>
        <w:rPr>
          <w:rFonts w:ascii="Times New Roman" w:hAnsi="Times New Roman" w:eastAsia="Times New Roman" w:cs="Times New Roman"/>
          <w:color w:val="000000"/>
        </w:rPr>
        <w:t xml:space="preserve">This document brings together the four regional reports. In every region each renewable source (hydro, wind, solar, biomass and, where it exists, geothermal) was analysed and forecast </w:t>
      </w:r>
      <w:r>
        <w:rPr>
          <w:rFonts w:ascii="Times New Roman" w:hAnsi="Times New Roman" w:eastAsia="Times New Roman" w:cs="Times New Roman"/>
          <w:b/>
          <w:color w:val="000000"/>
        </w:rPr>
        <w:t>separately</w:t>
      </w:r>
      <w:r>
        <w:rPr>
          <w:rFonts w:ascii="Times New Roman" w:hAnsi="Times New Roman" w:eastAsia="Times New Roman" w:cs="Times New Roman"/>
          <w:color w:val="000000"/>
        </w:rPr>
        <w:t>, using the same steps: trend and seasonality analysis, ADF/KPSS stationarity tests, ACF/PACF identification confirmed by AIC, a comparison of baseline, ARIMA-family, Holt-Winters, machine-learning and neural-network models, residual diagnostics and a 12-month forecast.</w:t>
      </w:r>
    </w:p>
    <w:p>
      <w:pPr>
        <w:pStyle w:val="Heading2"/>
      </w:pPr>
      <w:r>
        <w:rPr>
          <w:rFonts w:ascii="Times New Roman" w:hAnsi="Times New Roman" w:eastAsia="Times New Roman" w:cs="Times New Roman"/>
          <w:color w:val="000000"/>
        </w:rPr>
        <w:t>9.1 Comparability of the regional studies</w:t>
      </w:r>
    </w:p>
    <w:p>
      <w:pPr>
        <w:keepNext/>
        <w:spacing w:before="120"/>
      </w:pPr>
      <w:r>
        <w:rPr>
          <w:rFonts w:ascii="Times New Roman" w:hAnsi="Times New Roman" w:eastAsia="Times New Roman" w:cs="Times New Roman"/>
          <w:b/>
          <w:color w:val="000000"/>
          <w:sz w:val="22"/>
        </w:rPr>
        <w:t>Table 9.1 Study design by region</w:t>
      </w:r>
    </w:p>
    <w:tbl>
      <w:tblPr>
        <w:tblStyle w:val="TableGrid"/>
        <w:tblW w:type="auto" w:w="0"/>
        <w:jc w:val="center"/>
        <w:tblLayout w:type="fixed"/>
        <w:tblLook w:firstColumn="1" w:firstRow="1" w:lastColumn="0" w:lastRow="0" w:noHBand="0" w:noVBand="1" w:val="04A0"/>
        <w:tblLayout w:type="fixed"/>
      </w:tblPr>
      <w:tblGrid>
        <w:gridCol w:w="2001"/>
        <w:gridCol w:w="3648"/>
        <w:gridCol w:w="3648"/>
      </w:tblGrid>
      <w:tr>
        <w:trPr>
          <w:tblHeader w:val="true"/>
        </w:trPr>
        <w:tc>
          <w:tcPr>
            <w:tcW w:type="dxa" w:w="2001"/>
            <w:shd w:val="clear" w:color="auto" w:fill="E7E7E7"/>
          </w:tcPr>
          <w:p>
            <w:pPr>
              <w:spacing w:after="20" w:line="240" w:lineRule="auto"/>
            </w:pPr>
            <w:r/>
            <w:r>
              <w:rPr>
                <w:rFonts w:ascii="Times New Roman" w:hAnsi="Times New Roman" w:eastAsia="Times New Roman" w:cs="Times New Roman"/>
                <w:b/>
                <w:color w:val="000000"/>
                <w:sz w:val="20"/>
              </w:rPr>
              <w:t>Design element</w:t>
            </w:r>
          </w:p>
        </w:tc>
        <w:tc>
          <w:tcPr>
            <w:tcW w:type="dxa" w:w="3648"/>
            <w:shd w:val="clear" w:color="auto" w:fill="E7E7E7"/>
          </w:tcPr>
          <w:p>
            <w:pPr>
              <w:spacing w:after="20" w:line="240" w:lineRule="auto"/>
            </w:pPr>
            <w:r/>
            <w:r>
              <w:rPr>
                <w:rFonts w:ascii="Times New Roman" w:hAnsi="Times New Roman" w:eastAsia="Times New Roman" w:cs="Times New Roman"/>
                <w:b/>
                <w:color w:val="000000"/>
                <w:sz w:val="20"/>
              </w:rPr>
              <w:t>South, Midwest, West</w:t>
            </w:r>
          </w:p>
        </w:tc>
        <w:tc>
          <w:tcPr>
            <w:tcW w:type="dxa" w:w="3648"/>
            <w:shd w:val="clear" w:color="auto" w:fill="E7E7E7"/>
          </w:tcPr>
          <w:p>
            <w:pPr>
              <w:spacing w:after="20" w:line="240" w:lineRule="auto"/>
            </w:pPr>
            <w:r/>
            <w:r>
              <w:rPr>
                <w:rFonts w:ascii="Times New Roman" w:hAnsi="Times New Roman" w:eastAsia="Times New Roman" w:cs="Times New Roman"/>
                <w:b/>
                <w:color w:val="000000"/>
                <w:sz w:val="20"/>
              </w:rPr>
              <w:t>Northeast</w:t>
            </w:r>
          </w:p>
        </w:tc>
      </w:tr>
      <w:tr>
        <w:tc>
          <w:tcPr>
            <w:tcW w:type="dxa" w:w="2001"/>
          </w:tcPr>
          <w:p>
            <w:pPr>
              <w:spacing w:after="20" w:line="240" w:lineRule="auto"/>
            </w:pPr>
            <w:r/>
            <w:r>
              <w:rPr>
                <w:rFonts w:ascii="Times New Roman" w:hAnsi="Times New Roman" w:eastAsia="Times New Roman" w:cs="Times New Roman"/>
                <w:color w:val="000000"/>
                <w:sz w:val="20"/>
              </w:rPr>
              <w:t>Study window</w:t>
            </w:r>
          </w:p>
        </w:tc>
        <w:tc>
          <w:tcPr>
            <w:tcW w:type="dxa" w:w="3648"/>
          </w:tcPr>
          <w:p>
            <w:pPr>
              <w:spacing w:after="20" w:line="240" w:lineRule="auto"/>
            </w:pPr>
            <w:r/>
            <w:r>
              <w:rPr>
                <w:rFonts w:ascii="Times New Roman" w:hAnsi="Times New Roman" w:eastAsia="Times New Roman" w:cs="Times New Roman"/>
                <w:color w:val="000000"/>
                <w:sz w:val="20"/>
              </w:rPr>
              <w:t>Jan 2001 – Jul 2026 (solar from 2010 in the South and 2012 in the Midwest; full period in the West)</w:t>
            </w:r>
          </w:p>
        </w:tc>
        <w:tc>
          <w:tcPr>
            <w:tcW w:type="dxa" w:w="3648"/>
          </w:tcPr>
          <w:p>
            <w:pPr>
              <w:spacing w:after="20" w:line="240" w:lineRule="auto"/>
            </w:pPr>
            <w:r/>
            <w:r>
              <w:rPr>
                <w:rFonts w:ascii="Times New Roman" w:hAnsi="Times New Roman" w:eastAsia="Times New Roman" w:cs="Times New Roman"/>
                <w:color w:val="000000"/>
                <w:sz w:val="20"/>
              </w:rPr>
              <w:t>Jan 2013 – Jul 2026 for all sources</w:t>
            </w:r>
          </w:p>
        </w:tc>
      </w:tr>
      <w:tr>
        <w:tc>
          <w:tcPr>
            <w:tcW w:type="dxa" w:w="2001"/>
          </w:tcPr>
          <w:p>
            <w:pPr>
              <w:spacing w:after="20" w:line="240" w:lineRule="auto"/>
            </w:pPr>
            <w:r/>
            <w:r>
              <w:rPr>
                <w:rFonts w:ascii="Times New Roman" w:hAnsi="Times New Roman" w:eastAsia="Times New Roman" w:cs="Times New Roman"/>
                <w:color w:val="000000"/>
                <w:sz w:val="20"/>
              </w:rPr>
              <w:t>Test period</w:t>
            </w:r>
          </w:p>
        </w:tc>
        <w:tc>
          <w:tcPr>
            <w:tcW w:type="dxa" w:w="3648"/>
          </w:tcPr>
          <w:p>
            <w:pPr>
              <w:spacing w:after="20" w:line="240" w:lineRule="auto"/>
            </w:pPr>
            <w:r/>
            <w:r>
              <w:rPr>
                <w:rFonts w:ascii="Times New Roman" w:hAnsi="Times New Roman" w:eastAsia="Times New Roman" w:cs="Times New Roman"/>
                <w:color w:val="000000"/>
                <w:sz w:val="20"/>
              </w:rPr>
              <w:t>Last 24 months (Aug 2024 – Jul 2026), one forecast origin</w:t>
            </w:r>
          </w:p>
        </w:tc>
        <w:tc>
          <w:tcPr>
            <w:tcW w:type="dxa" w:w="3648"/>
          </w:tcPr>
          <w:p>
            <w:pPr>
              <w:spacing w:after="20" w:line="240" w:lineRule="auto"/>
            </w:pPr>
            <w:r/>
            <w:r>
              <w:rPr>
                <w:rFonts w:ascii="Times New Roman" w:hAnsi="Times New Roman" w:eastAsia="Times New Roman" w:cs="Times New Roman"/>
                <w:color w:val="000000"/>
                <w:sz w:val="20"/>
              </w:rPr>
              <w:t>Last 12 months (Aug 2025 – Jul 2026), plus a 3-origin rolling check (36 months)</w:t>
            </w:r>
          </w:p>
        </w:tc>
      </w:tr>
      <w:tr>
        <w:tc>
          <w:tcPr>
            <w:tcW w:type="dxa" w:w="2001"/>
          </w:tcPr>
          <w:p>
            <w:pPr>
              <w:spacing w:after="20" w:line="240" w:lineRule="auto"/>
            </w:pPr>
            <w:r/>
            <w:r>
              <w:rPr>
                <w:rFonts w:ascii="Times New Roman" w:hAnsi="Times New Roman" w:eastAsia="Times New Roman" w:cs="Times New Roman"/>
                <w:color w:val="000000"/>
                <w:sz w:val="20"/>
              </w:rPr>
              <w:t>Transformation</w:t>
            </w:r>
          </w:p>
        </w:tc>
        <w:tc>
          <w:tcPr>
            <w:tcW w:type="dxa" w:w="3648"/>
          </w:tcPr>
          <w:p>
            <w:pPr>
              <w:spacing w:after="20" w:line="240" w:lineRule="auto"/>
            </w:pPr>
            <w:r/>
            <w:r>
              <w:rPr>
                <w:rFonts w:ascii="Times New Roman" w:hAnsi="Times New Roman" w:eastAsia="Times New Roman" w:cs="Times New Roman"/>
                <w:color w:val="000000"/>
                <w:sz w:val="20"/>
              </w:rPr>
              <w:t>Log scale for multiplicative series; differencing chosen per series by a seasonal-strength + ADF/KPSS rule</w:t>
            </w:r>
          </w:p>
        </w:tc>
        <w:tc>
          <w:tcPr>
            <w:tcW w:type="dxa" w:w="3648"/>
          </w:tcPr>
          <w:p>
            <w:pPr>
              <w:spacing w:after="20" w:line="240" w:lineRule="auto"/>
            </w:pPr>
            <w:r/>
            <w:r>
              <w:rPr>
                <w:rFonts w:ascii="Times New Roman" w:hAnsi="Times New Roman" w:eastAsia="Times New Roman" w:cs="Times New Roman"/>
                <w:color w:val="000000"/>
                <w:sz w:val="20"/>
              </w:rPr>
              <w:t>Log scale and d = 1 for every source; D = 0 and D = 1 both tested</w:t>
            </w:r>
          </w:p>
        </w:tc>
      </w:tr>
      <w:tr>
        <w:tc>
          <w:tcPr>
            <w:tcW w:type="dxa" w:w="2001"/>
          </w:tcPr>
          <w:p>
            <w:pPr>
              <w:spacing w:after="20" w:line="240" w:lineRule="auto"/>
            </w:pPr>
            <w:r/>
            <w:r>
              <w:rPr>
                <w:rFonts w:ascii="Times New Roman" w:hAnsi="Times New Roman" w:eastAsia="Times New Roman" w:cs="Times New Roman"/>
                <w:color w:val="000000"/>
                <w:sz w:val="20"/>
              </w:rPr>
              <w:t>Model set</w:t>
            </w:r>
          </w:p>
        </w:tc>
        <w:tc>
          <w:tcPr>
            <w:tcW w:type="dxa" w:w="3648"/>
          </w:tcPr>
          <w:p>
            <w:pPr>
              <w:spacing w:after="20" w:line="240" w:lineRule="auto"/>
            </w:pPr>
            <w:r/>
            <w:r>
              <w:rPr>
                <w:rFonts w:ascii="Times New Roman" w:hAnsi="Times New Roman" w:eastAsia="Times New Roman" w:cs="Times New Roman"/>
                <w:color w:val="000000"/>
                <w:sz w:val="20"/>
              </w:rPr>
              <w:t>Naive, seasonal naive, ARIMA, SARIMA, SARIMAX (Fourier), SES, Holt, Holt-Winters, Linear Regression, Random Forest, MLP</w:t>
            </w:r>
          </w:p>
        </w:tc>
        <w:tc>
          <w:tcPr>
            <w:tcW w:type="dxa" w:w="3648"/>
          </w:tcPr>
          <w:p>
            <w:pPr>
              <w:spacing w:after="20" w:line="240" w:lineRule="auto"/>
            </w:pPr>
            <w:r/>
            <w:r>
              <w:rPr>
                <w:rFonts w:ascii="Times New Roman" w:hAnsi="Times New Roman" w:eastAsia="Times New Roman" w:cs="Times New Roman"/>
                <w:color w:val="000000"/>
                <w:sz w:val="20"/>
              </w:rPr>
              <w:t>Mean, naive, seasonal naive, drift, ARIMA, SARIMA, SARIMAX (demand proxy), Holt-Winters, Random Forest, Gradient Boosting, XGBoost, LSTM</w:t>
            </w:r>
          </w:p>
        </w:tc>
      </w:tr>
      <w:tr>
        <w:tc>
          <w:tcPr>
            <w:tcW w:type="dxa" w:w="2001"/>
          </w:tcPr>
          <w:p>
            <w:pPr>
              <w:spacing w:after="20" w:line="240" w:lineRule="auto"/>
            </w:pPr>
            <w:r/>
            <w:r>
              <w:rPr>
                <w:rFonts w:ascii="Times New Roman" w:hAnsi="Times New Roman" w:eastAsia="Times New Roman" w:cs="Times New Roman"/>
                <w:color w:val="000000"/>
                <w:sz w:val="20"/>
              </w:rPr>
              <w:t>Sources modelled</w:t>
            </w:r>
          </w:p>
        </w:tc>
        <w:tc>
          <w:tcPr>
            <w:tcW w:type="dxa" w:w="3648"/>
          </w:tcPr>
          <w:p>
            <w:pPr>
              <w:spacing w:after="20" w:line="240" w:lineRule="auto"/>
            </w:pPr>
            <w:r/>
            <w:r>
              <w:rPr>
                <w:rFonts w:ascii="Times New Roman" w:hAnsi="Times New Roman" w:eastAsia="Times New Roman" w:cs="Times New Roman"/>
                <w:color w:val="000000"/>
                <w:sz w:val="20"/>
              </w:rPr>
              <w:t>South: hydro, wind, solar, biomass · Midwest: hydro, solar, biomass, wind · West: all five including geothermal</w:t>
            </w:r>
          </w:p>
        </w:tc>
        <w:tc>
          <w:tcPr>
            <w:tcW w:type="dxa" w:w="3648"/>
          </w:tcPr>
          <w:p>
            <w:pPr>
              <w:spacing w:after="20" w:line="240" w:lineRule="auto"/>
            </w:pPr>
            <w:r/>
            <w:r>
              <w:rPr>
                <w:rFonts w:ascii="Times New Roman" w:hAnsi="Times New Roman" w:eastAsia="Times New Roman" w:cs="Times New Roman"/>
                <w:color w:val="000000"/>
                <w:sz w:val="20"/>
              </w:rPr>
              <w:t>Hydro, wind, solar, biomass</w:t>
            </w:r>
          </w:p>
        </w:tc>
      </w:tr>
    </w:tbl>
    <w:p>
      <w:pPr>
        <w:spacing w:after="40"/>
      </w:pPr>
    </w:p>
    <w:p>
      <w:pPr>
        <w:jc w:val="both"/>
      </w:pPr>
      <w:r>
        <w:rPr>
          <w:rFonts w:ascii="Times New Roman" w:hAnsi="Times New Roman" w:eastAsia="Times New Roman" w:cs="Times New Roman"/>
          <w:color w:val="000000"/>
        </w:rPr>
        <w:t>Because the Northeast uses a shorter window and a 12-month test, its errors are not strictly comparable with the other three regions; MAPE (a scale-free percentage error) is used for all cross-region comparisons, and the differences in design are kept in mind when ranking regions. Geothermal generation is zero in the South, Midwest and Northeast and is modelled only in the West.</w:t>
      </w:r>
    </w:p>
    <w:p>
      <w:pPr>
        <w:pStyle w:val="Heading2"/>
      </w:pPr>
      <w:r>
        <w:rPr>
          <w:rFonts w:ascii="Times New Roman" w:hAnsi="Times New Roman" w:eastAsia="Times New Roman" w:cs="Times New Roman"/>
          <w:color w:val="000000"/>
        </w:rPr>
        <w:t>9.2 Side-by-side forecast accuracy: MAE, RMSE and MAPE</w:t>
      </w:r>
    </w:p>
    <w:p>
      <w:pPr>
        <w:jc w:val="both"/>
      </w:pPr>
      <w:r>
        <w:rPr>
          <w:rFonts w:ascii="Times New Roman" w:hAnsi="Times New Roman" w:eastAsia="Times New Roman" w:cs="Times New Roman"/>
          <w:color w:val="000000"/>
        </w:rPr>
        <w:t>Table 9.2 compares the best model of each source in each region. Table 9.3 compares the same two reference models everywhere — SARIMA and the seasonal-naive benchmark — so that the regions can be compared on an equal footing.</w:t>
      </w:r>
    </w:p>
    <w:p>
      <w:pPr>
        <w:keepNext/>
        <w:spacing w:before="120"/>
      </w:pPr>
      <w:r>
        <w:rPr>
          <w:rFonts w:ascii="Times New Roman" w:hAnsi="Times New Roman" w:eastAsia="Times New Roman" w:cs="Times New Roman"/>
          <w:b/>
          <w:color w:val="000000"/>
          <w:sz w:val="22"/>
        </w:rPr>
        <w:t>Table 9.2 Best model of each source in each region (test period)</w:t>
      </w:r>
    </w:p>
    <w:tbl>
      <w:tblPr>
        <w:tblStyle w:val="TableGrid"/>
        <w:tblW w:type="auto" w:w="0"/>
        <w:jc w:val="center"/>
        <w:tblLayout w:type="fixed"/>
        <w:tblLook w:firstColumn="1" w:firstRow="1" w:lastColumn="0" w:lastRow="0" w:noHBand="0" w:noVBand="1" w:val="04A0"/>
        <w:tblLayout w:type="fixed"/>
      </w:tblPr>
      <w:tblGrid>
        <w:gridCol w:w="1382"/>
        <w:gridCol w:w="1256"/>
        <w:gridCol w:w="3644"/>
        <w:gridCol w:w="1005"/>
        <w:gridCol w:w="1005"/>
        <w:gridCol w:w="1005"/>
      </w:tblGrid>
      <w:tr>
        <w:trPr>
          <w:tblHeader w:val="true"/>
        </w:trPr>
        <w:tc>
          <w:tcPr>
            <w:tcW w:type="dxa" w:w="1382"/>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1256"/>
            <w:shd w:val="clear" w:color="auto" w:fill="E7E7E7"/>
          </w:tcPr>
          <w:p>
            <w:pPr>
              <w:spacing w:after="20" w:line="240" w:lineRule="auto"/>
            </w:pPr>
            <w:r/>
            <w:r>
              <w:rPr>
                <w:rFonts w:ascii="Times New Roman" w:hAnsi="Times New Roman" w:eastAsia="Times New Roman" w:cs="Times New Roman"/>
                <w:b/>
                <w:color w:val="000000"/>
                <w:sz w:val="20"/>
              </w:rPr>
              <w:t>Region</w:t>
            </w:r>
          </w:p>
        </w:tc>
        <w:tc>
          <w:tcPr>
            <w:tcW w:type="dxa" w:w="3644"/>
            <w:shd w:val="clear" w:color="auto" w:fill="E7E7E7"/>
          </w:tcPr>
          <w:p>
            <w:pPr>
              <w:spacing w:after="20" w:line="240" w:lineRule="auto"/>
            </w:pPr>
            <w:r/>
            <w:r>
              <w:rPr>
                <w:rFonts w:ascii="Times New Roman" w:hAnsi="Times New Roman" w:eastAsia="Times New Roman" w:cs="Times New Roman"/>
                <w:b/>
                <w:color w:val="000000"/>
                <w:sz w:val="20"/>
              </w:rPr>
              <w:t>Best model</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MAPE (%)</w:t>
            </w:r>
          </w:p>
        </w:tc>
      </w:tr>
      <w:tr>
        <w:tc>
          <w:tcPr>
            <w:tcW w:type="dxa" w:w="1382"/>
          </w:tcPr>
          <w:p>
            <w:pPr>
              <w:spacing w:after="20" w:line="240" w:lineRule="auto"/>
            </w:pPr>
            <w:r/>
            <w:r>
              <w:rPr>
                <w:rFonts w:ascii="Times New Roman" w:hAnsi="Times New Roman" w:eastAsia="Times New Roman" w:cs="Times New Roman"/>
                <w:color w:val="000000"/>
                <w:sz w:val="20"/>
              </w:rPr>
              <w:t>Hydro</w:t>
            </w:r>
          </w:p>
        </w:tc>
        <w:tc>
          <w:tcPr>
            <w:tcW w:type="dxa" w:w="1256"/>
          </w:tcPr>
          <w:p>
            <w:pPr>
              <w:spacing w:after="20" w:line="240" w:lineRule="auto"/>
            </w:pPr>
            <w:r/>
            <w:r>
              <w:rPr>
                <w:rFonts w:ascii="Times New Roman" w:hAnsi="Times New Roman" w:eastAsia="Times New Roman" w:cs="Times New Roman"/>
                <w:color w:val="000000"/>
                <w:sz w:val="20"/>
              </w:rPr>
              <w:t>South</w:t>
            </w:r>
          </w:p>
        </w:tc>
        <w:tc>
          <w:tcPr>
            <w:tcW w:type="dxa" w:w="3644"/>
          </w:tcPr>
          <w:p>
            <w:pPr>
              <w:spacing w:after="20" w:line="240" w:lineRule="auto"/>
            </w:pPr>
            <w:r/>
            <w:r>
              <w:rPr>
                <w:rFonts w:ascii="Times New Roman" w:hAnsi="Times New Roman" w:eastAsia="Times New Roman" w:cs="Times New Roman"/>
                <w:color w:val="000000"/>
                <w:sz w:val="20"/>
              </w:rPr>
              <w:t>ARIMA(3,0,2) + constant</w:t>
            </w:r>
          </w:p>
        </w:tc>
        <w:tc>
          <w:tcPr>
            <w:tcW w:type="dxa" w:w="1005"/>
          </w:tcPr>
          <w:p>
            <w:pPr>
              <w:spacing w:after="20" w:line="240" w:lineRule="auto"/>
            </w:pPr>
            <w:r/>
            <w:r>
              <w:rPr>
                <w:rFonts w:ascii="Times New Roman" w:hAnsi="Times New Roman" w:eastAsia="Times New Roman" w:cs="Times New Roman"/>
                <w:color w:val="000000"/>
                <w:sz w:val="20"/>
              </w:rPr>
              <w:t>531.3</w:t>
            </w:r>
          </w:p>
        </w:tc>
        <w:tc>
          <w:tcPr>
            <w:tcW w:type="dxa" w:w="1005"/>
          </w:tcPr>
          <w:p>
            <w:pPr>
              <w:spacing w:after="20" w:line="240" w:lineRule="auto"/>
            </w:pPr>
            <w:r/>
            <w:r>
              <w:rPr>
                <w:rFonts w:ascii="Times New Roman" w:hAnsi="Times New Roman" w:eastAsia="Times New Roman" w:cs="Times New Roman"/>
                <w:color w:val="000000"/>
                <w:sz w:val="20"/>
              </w:rPr>
              <w:t>624.7</w:t>
            </w:r>
          </w:p>
        </w:tc>
        <w:tc>
          <w:tcPr>
            <w:tcW w:type="dxa" w:w="1005"/>
          </w:tcPr>
          <w:p>
            <w:pPr>
              <w:spacing w:after="20" w:line="240" w:lineRule="auto"/>
            </w:pPr>
            <w:r/>
            <w:r>
              <w:rPr>
                <w:rFonts w:ascii="Times New Roman" w:hAnsi="Times New Roman" w:eastAsia="Times New Roman" w:cs="Times New Roman"/>
                <w:color w:val="000000"/>
                <w:sz w:val="20"/>
              </w:rPr>
              <w:t>16.98</w:t>
            </w:r>
          </w:p>
        </w:tc>
      </w:tr>
      <w:tr>
        <w:tc>
          <w:tcPr>
            <w:tcW w:type="dxa" w:w="1382"/>
          </w:tcPr>
          <w:p>
            <w:pPr>
              <w:spacing w:after="20" w:line="240" w:lineRule="auto"/>
            </w:pPr>
            <w:r/>
            <w:r>
              <w:rPr>
                <w:rFonts w:ascii="Times New Roman" w:hAnsi="Times New Roman" w:eastAsia="Times New Roman" w:cs="Times New Roman"/>
                <w:color w:val="000000"/>
                <w:sz w:val="20"/>
              </w:rPr>
              <w:t>Hydro</w:t>
            </w:r>
          </w:p>
        </w:tc>
        <w:tc>
          <w:tcPr>
            <w:tcW w:type="dxa" w:w="1256"/>
          </w:tcPr>
          <w:p>
            <w:pPr>
              <w:spacing w:after="20" w:line="240" w:lineRule="auto"/>
            </w:pPr>
            <w:r/>
            <w:r>
              <w:rPr>
                <w:rFonts w:ascii="Times New Roman" w:hAnsi="Times New Roman" w:eastAsia="Times New Roman" w:cs="Times New Roman"/>
                <w:color w:val="000000"/>
                <w:sz w:val="20"/>
              </w:rPr>
              <w:t>Northeast</w:t>
            </w:r>
          </w:p>
        </w:tc>
        <w:tc>
          <w:tcPr>
            <w:tcW w:type="dxa" w:w="3644"/>
          </w:tcPr>
          <w:p>
            <w:pPr>
              <w:spacing w:after="20" w:line="240" w:lineRule="auto"/>
            </w:pPr>
            <w:r/>
            <w:r>
              <w:rPr>
                <w:rFonts w:ascii="Times New Roman" w:hAnsi="Times New Roman" w:eastAsia="Times New Roman" w:cs="Times New Roman"/>
                <w:color w:val="000000"/>
                <w:sz w:val="20"/>
              </w:rPr>
              <w:t>Random Forest</w:t>
            </w:r>
          </w:p>
        </w:tc>
        <w:tc>
          <w:tcPr>
            <w:tcW w:type="dxa" w:w="1005"/>
          </w:tcPr>
          <w:p>
            <w:pPr>
              <w:spacing w:after="20" w:line="240" w:lineRule="auto"/>
            </w:pPr>
            <w:r/>
            <w:r>
              <w:rPr>
                <w:rFonts w:ascii="Times New Roman" w:hAnsi="Times New Roman" w:eastAsia="Times New Roman" w:cs="Times New Roman"/>
                <w:color w:val="000000"/>
                <w:sz w:val="20"/>
              </w:rPr>
              <w:t>117.6</w:t>
            </w:r>
          </w:p>
        </w:tc>
        <w:tc>
          <w:tcPr>
            <w:tcW w:type="dxa" w:w="1005"/>
          </w:tcPr>
          <w:p>
            <w:pPr>
              <w:spacing w:after="20" w:line="240" w:lineRule="auto"/>
            </w:pPr>
            <w:r/>
            <w:r>
              <w:rPr>
                <w:rFonts w:ascii="Times New Roman" w:hAnsi="Times New Roman" w:eastAsia="Times New Roman" w:cs="Times New Roman"/>
                <w:color w:val="000000"/>
                <w:sz w:val="20"/>
              </w:rPr>
              <w:t>151.9</w:t>
            </w:r>
          </w:p>
        </w:tc>
        <w:tc>
          <w:tcPr>
            <w:tcW w:type="dxa" w:w="1005"/>
          </w:tcPr>
          <w:p>
            <w:pPr>
              <w:spacing w:after="20" w:line="240" w:lineRule="auto"/>
            </w:pPr>
            <w:r/>
            <w:r>
              <w:rPr>
                <w:rFonts w:ascii="Times New Roman" w:hAnsi="Times New Roman" w:eastAsia="Times New Roman" w:cs="Times New Roman"/>
                <w:color w:val="000000"/>
                <w:sz w:val="20"/>
              </w:rPr>
              <w:t>4.28</w:t>
            </w:r>
          </w:p>
        </w:tc>
      </w:tr>
      <w:tr>
        <w:tc>
          <w:tcPr>
            <w:tcW w:type="dxa" w:w="1382"/>
          </w:tcPr>
          <w:p>
            <w:pPr>
              <w:spacing w:after="20" w:line="240" w:lineRule="auto"/>
            </w:pPr>
            <w:r/>
            <w:r>
              <w:rPr>
                <w:rFonts w:ascii="Times New Roman" w:hAnsi="Times New Roman" w:eastAsia="Times New Roman" w:cs="Times New Roman"/>
                <w:color w:val="000000"/>
                <w:sz w:val="20"/>
              </w:rPr>
              <w:t>Hydro</w:t>
            </w:r>
          </w:p>
        </w:tc>
        <w:tc>
          <w:tcPr>
            <w:tcW w:type="dxa" w:w="1256"/>
          </w:tcPr>
          <w:p>
            <w:pPr>
              <w:spacing w:after="20" w:line="240" w:lineRule="auto"/>
            </w:pPr>
            <w:r/>
            <w:r>
              <w:rPr>
                <w:rFonts w:ascii="Times New Roman" w:hAnsi="Times New Roman" w:eastAsia="Times New Roman" w:cs="Times New Roman"/>
                <w:color w:val="000000"/>
                <w:sz w:val="20"/>
              </w:rPr>
              <w:t>Midwest</w:t>
            </w:r>
          </w:p>
        </w:tc>
        <w:tc>
          <w:tcPr>
            <w:tcW w:type="dxa" w:w="3644"/>
          </w:tcPr>
          <w:p>
            <w:pPr>
              <w:spacing w:after="20" w:line="240" w:lineRule="auto"/>
            </w:pPr>
            <w:r/>
            <w:r>
              <w:rPr>
                <w:rFonts w:ascii="Times New Roman" w:hAnsi="Times New Roman" w:eastAsia="Times New Roman" w:cs="Times New Roman"/>
                <w:color w:val="000000"/>
                <w:sz w:val="20"/>
              </w:rPr>
              <w:t>Linear Regression</w:t>
            </w:r>
          </w:p>
        </w:tc>
        <w:tc>
          <w:tcPr>
            <w:tcW w:type="dxa" w:w="1005"/>
          </w:tcPr>
          <w:p>
            <w:pPr>
              <w:spacing w:after="20" w:line="240" w:lineRule="auto"/>
            </w:pPr>
            <w:r/>
            <w:r>
              <w:rPr>
                <w:rFonts w:ascii="Times New Roman" w:hAnsi="Times New Roman" w:eastAsia="Times New Roman" w:cs="Times New Roman"/>
                <w:color w:val="000000"/>
                <w:sz w:val="20"/>
              </w:rPr>
              <w:t>211.7</w:t>
            </w:r>
          </w:p>
        </w:tc>
        <w:tc>
          <w:tcPr>
            <w:tcW w:type="dxa" w:w="1005"/>
          </w:tcPr>
          <w:p>
            <w:pPr>
              <w:spacing w:after="20" w:line="240" w:lineRule="auto"/>
            </w:pPr>
            <w:r/>
            <w:r>
              <w:rPr>
                <w:rFonts w:ascii="Times New Roman" w:hAnsi="Times New Roman" w:eastAsia="Times New Roman" w:cs="Times New Roman"/>
                <w:color w:val="000000"/>
                <w:sz w:val="20"/>
              </w:rPr>
              <w:t>319.0</w:t>
            </w:r>
          </w:p>
        </w:tc>
        <w:tc>
          <w:tcPr>
            <w:tcW w:type="dxa" w:w="1005"/>
          </w:tcPr>
          <w:p>
            <w:pPr>
              <w:spacing w:after="20" w:line="240" w:lineRule="auto"/>
            </w:pPr>
            <w:r/>
            <w:r>
              <w:rPr>
                <w:rFonts w:ascii="Times New Roman" w:hAnsi="Times New Roman" w:eastAsia="Times New Roman" w:cs="Times New Roman"/>
                <w:color w:val="000000"/>
                <w:sz w:val="20"/>
              </w:rPr>
              <w:t>13.67</w:t>
            </w:r>
          </w:p>
        </w:tc>
      </w:tr>
      <w:tr>
        <w:tc>
          <w:tcPr>
            <w:tcW w:type="dxa" w:w="1382"/>
          </w:tcPr>
          <w:p>
            <w:pPr>
              <w:spacing w:after="20" w:line="240" w:lineRule="auto"/>
            </w:pPr>
            <w:r/>
            <w:r>
              <w:rPr>
                <w:rFonts w:ascii="Times New Roman" w:hAnsi="Times New Roman" w:eastAsia="Times New Roman" w:cs="Times New Roman"/>
                <w:color w:val="000000"/>
                <w:sz w:val="20"/>
              </w:rPr>
              <w:t>Hydro</w:t>
            </w:r>
          </w:p>
        </w:tc>
        <w:tc>
          <w:tcPr>
            <w:tcW w:type="dxa" w:w="1256"/>
          </w:tcPr>
          <w:p>
            <w:pPr>
              <w:spacing w:after="20" w:line="240" w:lineRule="auto"/>
            </w:pPr>
            <w:r/>
            <w:r>
              <w:rPr>
                <w:rFonts w:ascii="Times New Roman" w:hAnsi="Times New Roman" w:eastAsia="Times New Roman" w:cs="Times New Roman"/>
                <w:color w:val="000000"/>
                <w:sz w:val="20"/>
              </w:rPr>
              <w:t>West</w:t>
            </w:r>
          </w:p>
        </w:tc>
        <w:tc>
          <w:tcPr>
            <w:tcW w:type="dxa" w:w="3644"/>
          </w:tcPr>
          <w:p>
            <w:pPr>
              <w:spacing w:after="20" w:line="240" w:lineRule="auto"/>
            </w:pPr>
            <w:r/>
            <w:r>
              <w:rPr>
                <w:rFonts w:ascii="Times New Roman" w:hAnsi="Times New Roman" w:eastAsia="Times New Roman" w:cs="Times New Roman"/>
                <w:color w:val="000000"/>
                <w:sz w:val="20"/>
              </w:rPr>
              <w:t>Holt-Winters multiplicative</w:t>
            </w:r>
          </w:p>
        </w:tc>
        <w:tc>
          <w:tcPr>
            <w:tcW w:type="dxa" w:w="1005"/>
          </w:tcPr>
          <w:p>
            <w:pPr>
              <w:spacing w:after="20" w:line="240" w:lineRule="auto"/>
            </w:pPr>
            <w:r/>
            <w:r>
              <w:rPr>
                <w:rFonts w:ascii="Times New Roman" w:hAnsi="Times New Roman" w:eastAsia="Times New Roman" w:cs="Times New Roman"/>
                <w:color w:val="000000"/>
                <w:sz w:val="20"/>
              </w:rPr>
              <w:t>1,474.5</w:t>
            </w:r>
          </w:p>
        </w:tc>
        <w:tc>
          <w:tcPr>
            <w:tcW w:type="dxa" w:w="1005"/>
          </w:tcPr>
          <w:p>
            <w:pPr>
              <w:spacing w:after="20" w:line="240" w:lineRule="auto"/>
            </w:pPr>
            <w:r/>
            <w:r>
              <w:rPr>
                <w:rFonts w:ascii="Times New Roman" w:hAnsi="Times New Roman" w:eastAsia="Times New Roman" w:cs="Times New Roman"/>
                <w:color w:val="000000"/>
                <w:sz w:val="20"/>
              </w:rPr>
              <w:t>2,142.5</w:t>
            </w:r>
          </w:p>
        </w:tc>
        <w:tc>
          <w:tcPr>
            <w:tcW w:type="dxa" w:w="1005"/>
          </w:tcPr>
          <w:p>
            <w:pPr>
              <w:spacing w:after="20" w:line="240" w:lineRule="auto"/>
            </w:pPr>
            <w:r/>
            <w:r>
              <w:rPr>
                <w:rFonts w:ascii="Times New Roman" w:hAnsi="Times New Roman" w:eastAsia="Times New Roman" w:cs="Times New Roman"/>
                <w:color w:val="000000"/>
                <w:sz w:val="20"/>
              </w:rPr>
              <w:t>9.93</w:t>
            </w:r>
          </w:p>
        </w:tc>
      </w:tr>
      <w:tr>
        <w:tc>
          <w:tcPr>
            <w:tcW w:type="dxa" w:w="1382"/>
          </w:tcPr>
          <w:p>
            <w:pPr>
              <w:spacing w:after="20" w:line="240" w:lineRule="auto"/>
            </w:pPr>
            <w:r/>
            <w:r>
              <w:rPr>
                <w:rFonts w:ascii="Times New Roman" w:hAnsi="Times New Roman" w:eastAsia="Times New Roman" w:cs="Times New Roman"/>
                <w:color w:val="000000"/>
                <w:sz w:val="20"/>
              </w:rPr>
              <w:t>Wind</w:t>
            </w:r>
          </w:p>
        </w:tc>
        <w:tc>
          <w:tcPr>
            <w:tcW w:type="dxa" w:w="1256"/>
          </w:tcPr>
          <w:p>
            <w:pPr>
              <w:spacing w:after="20" w:line="240" w:lineRule="auto"/>
            </w:pPr>
            <w:r/>
            <w:r>
              <w:rPr>
                <w:rFonts w:ascii="Times New Roman" w:hAnsi="Times New Roman" w:eastAsia="Times New Roman" w:cs="Times New Roman"/>
                <w:color w:val="000000"/>
                <w:sz w:val="20"/>
              </w:rPr>
              <w:t>South</w:t>
            </w:r>
          </w:p>
        </w:tc>
        <w:tc>
          <w:tcPr>
            <w:tcW w:type="dxa" w:w="3644"/>
          </w:tcPr>
          <w:p>
            <w:pPr>
              <w:spacing w:after="20" w:line="240" w:lineRule="auto"/>
            </w:pPr>
            <w:r/>
            <w:r>
              <w:rPr>
                <w:rFonts w:ascii="Times New Roman" w:hAnsi="Times New Roman" w:eastAsia="Times New Roman" w:cs="Times New Roman"/>
                <w:color w:val="000000"/>
                <w:sz w:val="20"/>
              </w:rPr>
              <w:t>Holt-Winters multiplicative</w:t>
            </w:r>
          </w:p>
        </w:tc>
        <w:tc>
          <w:tcPr>
            <w:tcW w:type="dxa" w:w="1005"/>
          </w:tcPr>
          <w:p>
            <w:pPr>
              <w:spacing w:after="20" w:line="240" w:lineRule="auto"/>
            </w:pPr>
            <w:r/>
            <w:r>
              <w:rPr>
                <w:rFonts w:ascii="Times New Roman" w:hAnsi="Times New Roman" w:eastAsia="Times New Roman" w:cs="Times New Roman"/>
                <w:color w:val="000000"/>
                <w:sz w:val="20"/>
              </w:rPr>
              <w:t>958.9</w:t>
            </w:r>
          </w:p>
        </w:tc>
        <w:tc>
          <w:tcPr>
            <w:tcW w:type="dxa" w:w="1005"/>
          </w:tcPr>
          <w:p>
            <w:pPr>
              <w:spacing w:after="20" w:line="240" w:lineRule="auto"/>
            </w:pPr>
            <w:r/>
            <w:r>
              <w:rPr>
                <w:rFonts w:ascii="Times New Roman" w:hAnsi="Times New Roman" w:eastAsia="Times New Roman" w:cs="Times New Roman"/>
                <w:color w:val="000000"/>
                <w:sz w:val="20"/>
              </w:rPr>
              <w:t>1,182.2</w:t>
            </w:r>
          </w:p>
        </w:tc>
        <w:tc>
          <w:tcPr>
            <w:tcW w:type="dxa" w:w="1005"/>
          </w:tcPr>
          <w:p>
            <w:pPr>
              <w:spacing w:after="20" w:line="240" w:lineRule="auto"/>
            </w:pPr>
            <w:r/>
            <w:r>
              <w:rPr>
                <w:rFonts w:ascii="Times New Roman" w:hAnsi="Times New Roman" w:eastAsia="Times New Roman" w:cs="Times New Roman"/>
                <w:color w:val="000000"/>
                <w:sz w:val="20"/>
              </w:rPr>
              <w:t>6.98</w:t>
            </w:r>
          </w:p>
        </w:tc>
      </w:tr>
      <w:tr>
        <w:tc>
          <w:tcPr>
            <w:tcW w:type="dxa" w:w="1382"/>
          </w:tcPr>
          <w:p>
            <w:pPr>
              <w:spacing w:after="20" w:line="240" w:lineRule="auto"/>
            </w:pPr>
            <w:r/>
            <w:r>
              <w:rPr>
                <w:rFonts w:ascii="Times New Roman" w:hAnsi="Times New Roman" w:eastAsia="Times New Roman" w:cs="Times New Roman"/>
                <w:color w:val="000000"/>
                <w:sz w:val="20"/>
              </w:rPr>
              <w:t>Wind</w:t>
            </w:r>
          </w:p>
        </w:tc>
        <w:tc>
          <w:tcPr>
            <w:tcW w:type="dxa" w:w="1256"/>
          </w:tcPr>
          <w:p>
            <w:pPr>
              <w:spacing w:after="20" w:line="240" w:lineRule="auto"/>
            </w:pPr>
            <w:r/>
            <w:r>
              <w:rPr>
                <w:rFonts w:ascii="Times New Roman" w:hAnsi="Times New Roman" w:eastAsia="Times New Roman" w:cs="Times New Roman"/>
                <w:color w:val="000000"/>
                <w:sz w:val="20"/>
              </w:rPr>
              <w:t>Northeast</w:t>
            </w:r>
          </w:p>
        </w:tc>
        <w:tc>
          <w:tcPr>
            <w:tcW w:type="dxa" w:w="3644"/>
          </w:tcPr>
          <w:p>
            <w:pPr>
              <w:spacing w:after="20" w:line="240" w:lineRule="auto"/>
            </w:pPr>
            <w:r/>
            <w:r>
              <w:rPr>
                <w:rFonts w:ascii="Times New Roman" w:hAnsi="Times New Roman" w:eastAsia="Times New Roman" w:cs="Times New Roman"/>
                <w:color w:val="000000"/>
                <w:sz w:val="20"/>
              </w:rPr>
              <w:t>Seasonal naive</w:t>
            </w:r>
          </w:p>
        </w:tc>
        <w:tc>
          <w:tcPr>
            <w:tcW w:type="dxa" w:w="1005"/>
          </w:tcPr>
          <w:p>
            <w:pPr>
              <w:spacing w:after="20" w:line="240" w:lineRule="auto"/>
            </w:pPr>
            <w:r/>
            <w:r>
              <w:rPr>
                <w:rFonts w:ascii="Times New Roman" w:hAnsi="Times New Roman" w:eastAsia="Times New Roman" w:cs="Times New Roman"/>
                <w:color w:val="000000"/>
                <w:sz w:val="20"/>
              </w:rPr>
              <w:t>134.4</w:t>
            </w:r>
          </w:p>
        </w:tc>
        <w:tc>
          <w:tcPr>
            <w:tcW w:type="dxa" w:w="1005"/>
          </w:tcPr>
          <w:p>
            <w:pPr>
              <w:spacing w:after="20" w:line="240" w:lineRule="auto"/>
            </w:pPr>
            <w:r/>
            <w:r>
              <w:rPr>
                <w:rFonts w:ascii="Times New Roman" w:hAnsi="Times New Roman" w:eastAsia="Times New Roman" w:cs="Times New Roman"/>
                <w:color w:val="000000"/>
                <w:sz w:val="20"/>
              </w:rPr>
              <w:t>157.2</w:t>
            </w:r>
          </w:p>
        </w:tc>
        <w:tc>
          <w:tcPr>
            <w:tcW w:type="dxa" w:w="1005"/>
          </w:tcPr>
          <w:p>
            <w:pPr>
              <w:spacing w:after="20" w:line="240" w:lineRule="auto"/>
            </w:pPr>
            <w:r/>
            <w:r>
              <w:rPr>
                <w:rFonts w:ascii="Times New Roman" w:hAnsi="Times New Roman" w:eastAsia="Times New Roman" w:cs="Times New Roman"/>
                <w:color w:val="000000"/>
                <w:sz w:val="20"/>
              </w:rPr>
              <w:t>11.02</w:t>
            </w:r>
          </w:p>
        </w:tc>
      </w:tr>
      <w:tr>
        <w:tc>
          <w:tcPr>
            <w:tcW w:type="dxa" w:w="1382"/>
          </w:tcPr>
          <w:p>
            <w:pPr>
              <w:spacing w:after="20" w:line="240" w:lineRule="auto"/>
            </w:pPr>
            <w:r/>
            <w:r>
              <w:rPr>
                <w:rFonts w:ascii="Times New Roman" w:hAnsi="Times New Roman" w:eastAsia="Times New Roman" w:cs="Times New Roman"/>
                <w:color w:val="000000"/>
                <w:sz w:val="20"/>
              </w:rPr>
              <w:t>Wind</w:t>
            </w:r>
          </w:p>
        </w:tc>
        <w:tc>
          <w:tcPr>
            <w:tcW w:type="dxa" w:w="1256"/>
          </w:tcPr>
          <w:p>
            <w:pPr>
              <w:spacing w:after="20" w:line="240" w:lineRule="auto"/>
            </w:pPr>
            <w:r/>
            <w:r>
              <w:rPr>
                <w:rFonts w:ascii="Times New Roman" w:hAnsi="Times New Roman" w:eastAsia="Times New Roman" w:cs="Times New Roman"/>
                <w:color w:val="000000"/>
                <w:sz w:val="20"/>
              </w:rPr>
              <w:t>Midwest</w:t>
            </w:r>
          </w:p>
        </w:tc>
        <w:tc>
          <w:tcPr>
            <w:tcW w:type="dxa" w:w="3644"/>
          </w:tcPr>
          <w:p>
            <w:pPr>
              <w:spacing w:after="20" w:line="240" w:lineRule="auto"/>
            </w:pPr>
            <w:r/>
            <w:r>
              <w:rPr>
                <w:rFonts w:ascii="Times New Roman" w:hAnsi="Times New Roman" w:eastAsia="Times New Roman" w:cs="Times New Roman"/>
                <w:color w:val="000000"/>
                <w:sz w:val="20"/>
              </w:rPr>
              <w:t>Holt-Winters multiplicative</w:t>
            </w:r>
          </w:p>
        </w:tc>
        <w:tc>
          <w:tcPr>
            <w:tcW w:type="dxa" w:w="1005"/>
          </w:tcPr>
          <w:p>
            <w:pPr>
              <w:spacing w:after="20" w:line="240" w:lineRule="auto"/>
            </w:pPr>
            <w:r/>
            <w:r>
              <w:rPr>
                <w:rFonts w:ascii="Times New Roman" w:hAnsi="Times New Roman" w:eastAsia="Times New Roman" w:cs="Times New Roman"/>
                <w:color w:val="000000"/>
                <w:sz w:val="20"/>
              </w:rPr>
              <w:t>1,152.7</w:t>
            </w:r>
          </w:p>
        </w:tc>
        <w:tc>
          <w:tcPr>
            <w:tcW w:type="dxa" w:w="1005"/>
          </w:tcPr>
          <w:p>
            <w:pPr>
              <w:spacing w:after="20" w:line="240" w:lineRule="auto"/>
            </w:pPr>
            <w:r/>
            <w:r>
              <w:rPr>
                <w:rFonts w:ascii="Times New Roman" w:hAnsi="Times New Roman" w:eastAsia="Times New Roman" w:cs="Times New Roman"/>
                <w:color w:val="000000"/>
                <w:sz w:val="20"/>
              </w:rPr>
              <w:t>1,500.9</w:t>
            </w:r>
          </w:p>
        </w:tc>
        <w:tc>
          <w:tcPr>
            <w:tcW w:type="dxa" w:w="1005"/>
          </w:tcPr>
          <w:p>
            <w:pPr>
              <w:spacing w:after="20" w:line="240" w:lineRule="auto"/>
            </w:pPr>
            <w:r/>
            <w:r>
              <w:rPr>
                <w:rFonts w:ascii="Times New Roman" w:hAnsi="Times New Roman" w:eastAsia="Times New Roman" w:cs="Times New Roman"/>
                <w:color w:val="000000"/>
                <w:sz w:val="20"/>
              </w:rPr>
              <w:t>8.07</w:t>
            </w:r>
          </w:p>
        </w:tc>
      </w:tr>
      <w:tr>
        <w:tc>
          <w:tcPr>
            <w:tcW w:type="dxa" w:w="1382"/>
          </w:tcPr>
          <w:p>
            <w:pPr>
              <w:spacing w:after="20" w:line="240" w:lineRule="auto"/>
            </w:pPr>
            <w:r/>
            <w:r>
              <w:rPr>
                <w:rFonts w:ascii="Times New Roman" w:hAnsi="Times New Roman" w:eastAsia="Times New Roman" w:cs="Times New Roman"/>
                <w:color w:val="000000"/>
                <w:sz w:val="20"/>
              </w:rPr>
              <w:t>Wind</w:t>
            </w:r>
          </w:p>
        </w:tc>
        <w:tc>
          <w:tcPr>
            <w:tcW w:type="dxa" w:w="1256"/>
          </w:tcPr>
          <w:p>
            <w:pPr>
              <w:spacing w:after="20" w:line="240" w:lineRule="auto"/>
            </w:pPr>
            <w:r/>
            <w:r>
              <w:rPr>
                <w:rFonts w:ascii="Times New Roman" w:hAnsi="Times New Roman" w:eastAsia="Times New Roman" w:cs="Times New Roman"/>
                <w:color w:val="000000"/>
                <w:sz w:val="20"/>
              </w:rPr>
              <w:t>West</w:t>
            </w:r>
          </w:p>
        </w:tc>
        <w:tc>
          <w:tcPr>
            <w:tcW w:type="dxa" w:w="3644"/>
          </w:tcPr>
          <w:p>
            <w:pPr>
              <w:spacing w:after="20" w:line="240" w:lineRule="auto"/>
            </w:pPr>
            <w:r/>
            <w:r>
              <w:rPr>
                <w:rFonts w:ascii="Times New Roman" w:hAnsi="Times New Roman" w:eastAsia="Times New Roman" w:cs="Times New Roman"/>
                <w:color w:val="000000"/>
                <w:sz w:val="20"/>
              </w:rPr>
              <w:t>Holt-Winters additive</w:t>
            </w:r>
          </w:p>
        </w:tc>
        <w:tc>
          <w:tcPr>
            <w:tcW w:type="dxa" w:w="1005"/>
          </w:tcPr>
          <w:p>
            <w:pPr>
              <w:spacing w:after="20" w:line="240" w:lineRule="auto"/>
            </w:pPr>
            <w:r/>
            <w:r>
              <w:rPr>
                <w:rFonts w:ascii="Times New Roman" w:hAnsi="Times New Roman" w:eastAsia="Times New Roman" w:cs="Times New Roman"/>
                <w:color w:val="000000"/>
                <w:sz w:val="20"/>
              </w:rPr>
              <w:t>609.5</w:t>
            </w:r>
          </w:p>
        </w:tc>
        <w:tc>
          <w:tcPr>
            <w:tcW w:type="dxa" w:w="1005"/>
          </w:tcPr>
          <w:p>
            <w:pPr>
              <w:spacing w:after="20" w:line="240" w:lineRule="auto"/>
            </w:pPr>
            <w:r/>
            <w:r>
              <w:rPr>
                <w:rFonts w:ascii="Times New Roman" w:hAnsi="Times New Roman" w:eastAsia="Times New Roman" w:cs="Times New Roman"/>
                <w:color w:val="000000"/>
                <w:sz w:val="20"/>
              </w:rPr>
              <w:t>792.2</w:t>
            </w:r>
          </w:p>
        </w:tc>
        <w:tc>
          <w:tcPr>
            <w:tcW w:type="dxa" w:w="1005"/>
          </w:tcPr>
          <w:p>
            <w:pPr>
              <w:spacing w:after="20" w:line="240" w:lineRule="auto"/>
            </w:pPr>
            <w:r/>
            <w:r>
              <w:rPr>
                <w:rFonts w:ascii="Times New Roman" w:hAnsi="Times New Roman" w:eastAsia="Times New Roman" w:cs="Times New Roman"/>
                <w:color w:val="000000"/>
                <w:sz w:val="20"/>
              </w:rPr>
              <w:t>7.80</w:t>
            </w:r>
          </w:p>
        </w:tc>
      </w:tr>
      <w:tr>
        <w:tc>
          <w:tcPr>
            <w:tcW w:type="dxa" w:w="1382"/>
          </w:tcPr>
          <w:p>
            <w:pPr>
              <w:spacing w:after="20" w:line="240" w:lineRule="auto"/>
            </w:pPr>
            <w:r/>
            <w:r>
              <w:rPr>
                <w:rFonts w:ascii="Times New Roman" w:hAnsi="Times New Roman" w:eastAsia="Times New Roman" w:cs="Times New Roman"/>
                <w:color w:val="000000"/>
                <w:sz w:val="20"/>
              </w:rPr>
              <w:t>Solar</w:t>
            </w:r>
          </w:p>
        </w:tc>
        <w:tc>
          <w:tcPr>
            <w:tcW w:type="dxa" w:w="1256"/>
          </w:tcPr>
          <w:p>
            <w:pPr>
              <w:spacing w:after="20" w:line="240" w:lineRule="auto"/>
            </w:pPr>
            <w:r/>
            <w:r>
              <w:rPr>
                <w:rFonts w:ascii="Times New Roman" w:hAnsi="Times New Roman" w:eastAsia="Times New Roman" w:cs="Times New Roman"/>
                <w:color w:val="000000"/>
                <w:sz w:val="20"/>
              </w:rPr>
              <w:t>South</w:t>
            </w:r>
          </w:p>
        </w:tc>
        <w:tc>
          <w:tcPr>
            <w:tcW w:type="dxa" w:w="3644"/>
          </w:tcPr>
          <w:p>
            <w:pPr>
              <w:spacing w:after="20" w:line="240" w:lineRule="auto"/>
            </w:pPr>
            <w:r/>
            <w:r>
              <w:rPr>
                <w:rFonts w:ascii="Times New Roman" w:hAnsi="Times New Roman" w:eastAsia="Times New Roman" w:cs="Times New Roman"/>
                <w:color w:val="000000"/>
                <w:sz w:val="20"/>
              </w:rPr>
              <w:t>Random Forest</w:t>
            </w:r>
          </w:p>
        </w:tc>
        <w:tc>
          <w:tcPr>
            <w:tcW w:type="dxa" w:w="1005"/>
          </w:tcPr>
          <w:p>
            <w:pPr>
              <w:spacing w:after="20" w:line="240" w:lineRule="auto"/>
            </w:pPr>
            <w:r/>
            <w:r>
              <w:rPr>
                <w:rFonts w:ascii="Times New Roman" w:hAnsi="Times New Roman" w:eastAsia="Times New Roman" w:cs="Times New Roman"/>
                <w:color w:val="000000"/>
                <w:sz w:val="20"/>
              </w:rPr>
              <w:t>595.8</w:t>
            </w:r>
          </w:p>
        </w:tc>
        <w:tc>
          <w:tcPr>
            <w:tcW w:type="dxa" w:w="1005"/>
          </w:tcPr>
          <w:p>
            <w:pPr>
              <w:spacing w:after="20" w:line="240" w:lineRule="auto"/>
            </w:pPr>
            <w:r/>
            <w:r>
              <w:rPr>
                <w:rFonts w:ascii="Times New Roman" w:hAnsi="Times New Roman" w:eastAsia="Times New Roman" w:cs="Times New Roman"/>
                <w:color w:val="000000"/>
                <w:sz w:val="20"/>
              </w:rPr>
              <w:t>718.8</w:t>
            </w:r>
          </w:p>
        </w:tc>
        <w:tc>
          <w:tcPr>
            <w:tcW w:type="dxa" w:w="1005"/>
          </w:tcPr>
          <w:p>
            <w:pPr>
              <w:spacing w:after="20" w:line="240" w:lineRule="auto"/>
            </w:pPr>
            <w:r/>
            <w:r>
              <w:rPr>
                <w:rFonts w:ascii="Times New Roman" w:hAnsi="Times New Roman" w:eastAsia="Times New Roman" w:cs="Times New Roman"/>
                <w:color w:val="000000"/>
                <w:sz w:val="20"/>
              </w:rPr>
              <w:t>5.49</w:t>
            </w:r>
          </w:p>
        </w:tc>
      </w:tr>
      <w:tr>
        <w:tc>
          <w:tcPr>
            <w:tcW w:type="dxa" w:w="1382"/>
          </w:tcPr>
          <w:p>
            <w:pPr>
              <w:spacing w:after="20" w:line="240" w:lineRule="auto"/>
            </w:pPr>
            <w:r/>
            <w:r>
              <w:rPr>
                <w:rFonts w:ascii="Times New Roman" w:hAnsi="Times New Roman" w:eastAsia="Times New Roman" w:cs="Times New Roman"/>
                <w:color w:val="000000"/>
                <w:sz w:val="20"/>
              </w:rPr>
              <w:t>Solar</w:t>
            </w:r>
          </w:p>
        </w:tc>
        <w:tc>
          <w:tcPr>
            <w:tcW w:type="dxa" w:w="1256"/>
          </w:tcPr>
          <w:p>
            <w:pPr>
              <w:spacing w:after="20" w:line="240" w:lineRule="auto"/>
            </w:pPr>
            <w:r/>
            <w:r>
              <w:rPr>
                <w:rFonts w:ascii="Times New Roman" w:hAnsi="Times New Roman" w:eastAsia="Times New Roman" w:cs="Times New Roman"/>
                <w:color w:val="000000"/>
                <w:sz w:val="20"/>
              </w:rPr>
              <w:t>Northeast</w:t>
            </w:r>
          </w:p>
        </w:tc>
        <w:tc>
          <w:tcPr>
            <w:tcW w:type="dxa" w:w="3644"/>
          </w:tcPr>
          <w:p>
            <w:pPr>
              <w:spacing w:after="20" w:line="240" w:lineRule="auto"/>
            </w:pPr>
            <w:r/>
            <w:r>
              <w:rPr>
                <w:rFonts w:ascii="Times New Roman" w:hAnsi="Times New Roman" w:eastAsia="Times New Roman" w:cs="Times New Roman"/>
                <w:color w:val="000000"/>
                <w:sz w:val="20"/>
              </w:rPr>
              <w:t>Random Forest</w:t>
            </w:r>
          </w:p>
        </w:tc>
        <w:tc>
          <w:tcPr>
            <w:tcW w:type="dxa" w:w="1005"/>
          </w:tcPr>
          <w:p>
            <w:pPr>
              <w:spacing w:after="20" w:line="240" w:lineRule="auto"/>
            </w:pPr>
            <w:r/>
            <w:r>
              <w:rPr>
                <w:rFonts w:ascii="Times New Roman" w:hAnsi="Times New Roman" w:eastAsia="Times New Roman" w:cs="Times New Roman"/>
                <w:color w:val="000000"/>
                <w:sz w:val="20"/>
              </w:rPr>
              <w:t>59.0</w:t>
            </w:r>
          </w:p>
        </w:tc>
        <w:tc>
          <w:tcPr>
            <w:tcW w:type="dxa" w:w="1005"/>
          </w:tcPr>
          <w:p>
            <w:pPr>
              <w:spacing w:after="20" w:line="240" w:lineRule="auto"/>
            </w:pPr>
            <w:r/>
            <w:r>
              <w:rPr>
                <w:rFonts w:ascii="Times New Roman" w:hAnsi="Times New Roman" w:eastAsia="Times New Roman" w:cs="Times New Roman"/>
                <w:color w:val="000000"/>
                <w:sz w:val="20"/>
              </w:rPr>
              <w:t>64.6</w:t>
            </w:r>
          </w:p>
        </w:tc>
        <w:tc>
          <w:tcPr>
            <w:tcW w:type="dxa" w:w="1005"/>
          </w:tcPr>
          <w:p>
            <w:pPr>
              <w:spacing w:after="20" w:line="240" w:lineRule="auto"/>
            </w:pPr>
            <w:r/>
            <w:r>
              <w:rPr>
                <w:rFonts w:ascii="Times New Roman" w:hAnsi="Times New Roman" w:eastAsia="Times New Roman" w:cs="Times New Roman"/>
                <w:color w:val="000000"/>
                <w:sz w:val="20"/>
              </w:rPr>
              <w:t>4.51</w:t>
            </w:r>
          </w:p>
        </w:tc>
      </w:tr>
      <w:tr>
        <w:tc>
          <w:tcPr>
            <w:tcW w:type="dxa" w:w="1382"/>
          </w:tcPr>
          <w:p>
            <w:pPr>
              <w:spacing w:after="20" w:line="240" w:lineRule="auto"/>
            </w:pPr>
            <w:r/>
            <w:r>
              <w:rPr>
                <w:rFonts w:ascii="Times New Roman" w:hAnsi="Times New Roman" w:eastAsia="Times New Roman" w:cs="Times New Roman"/>
                <w:color w:val="000000"/>
                <w:sz w:val="20"/>
              </w:rPr>
              <w:t>Solar</w:t>
            </w:r>
          </w:p>
        </w:tc>
        <w:tc>
          <w:tcPr>
            <w:tcW w:type="dxa" w:w="1256"/>
          </w:tcPr>
          <w:p>
            <w:pPr>
              <w:spacing w:after="20" w:line="240" w:lineRule="auto"/>
            </w:pPr>
            <w:r/>
            <w:r>
              <w:rPr>
                <w:rFonts w:ascii="Times New Roman" w:hAnsi="Times New Roman" w:eastAsia="Times New Roman" w:cs="Times New Roman"/>
                <w:color w:val="000000"/>
                <w:sz w:val="20"/>
              </w:rPr>
              <w:t>Midwest</w:t>
            </w:r>
          </w:p>
        </w:tc>
        <w:tc>
          <w:tcPr>
            <w:tcW w:type="dxa" w:w="3644"/>
          </w:tcPr>
          <w:p>
            <w:pPr>
              <w:spacing w:after="20" w:line="240" w:lineRule="auto"/>
            </w:pPr>
            <w:r/>
            <w:r>
              <w:rPr>
                <w:rFonts w:ascii="Times New Roman" w:hAnsi="Times New Roman" w:eastAsia="Times New Roman" w:cs="Times New Roman"/>
                <w:color w:val="000000"/>
                <w:sz w:val="20"/>
              </w:rPr>
              <w:t>SARIMAX (Fourier terms)</w:t>
            </w:r>
          </w:p>
        </w:tc>
        <w:tc>
          <w:tcPr>
            <w:tcW w:type="dxa" w:w="1005"/>
          </w:tcPr>
          <w:p>
            <w:pPr>
              <w:spacing w:after="20" w:line="240" w:lineRule="auto"/>
            </w:pPr>
            <w:r/>
            <w:r>
              <w:rPr>
                <w:rFonts w:ascii="Times New Roman" w:hAnsi="Times New Roman" w:eastAsia="Times New Roman" w:cs="Times New Roman"/>
                <w:color w:val="000000"/>
                <w:sz w:val="20"/>
              </w:rPr>
              <w:t>264.2</w:t>
            </w:r>
          </w:p>
        </w:tc>
        <w:tc>
          <w:tcPr>
            <w:tcW w:type="dxa" w:w="1005"/>
          </w:tcPr>
          <w:p>
            <w:pPr>
              <w:spacing w:after="20" w:line="240" w:lineRule="auto"/>
            </w:pPr>
            <w:r/>
            <w:r>
              <w:rPr>
                <w:rFonts w:ascii="Times New Roman" w:hAnsi="Times New Roman" w:eastAsia="Times New Roman" w:cs="Times New Roman"/>
                <w:color w:val="000000"/>
                <w:sz w:val="20"/>
              </w:rPr>
              <w:t>301.8</w:t>
            </w:r>
          </w:p>
        </w:tc>
        <w:tc>
          <w:tcPr>
            <w:tcW w:type="dxa" w:w="1005"/>
          </w:tcPr>
          <w:p>
            <w:pPr>
              <w:spacing w:after="20" w:line="240" w:lineRule="auto"/>
            </w:pPr>
            <w:r/>
            <w:r>
              <w:rPr>
                <w:rFonts w:ascii="Times New Roman" w:hAnsi="Times New Roman" w:eastAsia="Times New Roman" w:cs="Times New Roman"/>
                <w:color w:val="000000"/>
                <w:sz w:val="20"/>
              </w:rPr>
              <w:t>11.45</w:t>
            </w:r>
          </w:p>
        </w:tc>
      </w:tr>
      <w:tr>
        <w:tc>
          <w:tcPr>
            <w:tcW w:type="dxa" w:w="1382"/>
          </w:tcPr>
          <w:p>
            <w:pPr>
              <w:spacing w:after="20" w:line="240" w:lineRule="auto"/>
            </w:pPr>
            <w:r/>
            <w:r>
              <w:rPr>
                <w:rFonts w:ascii="Times New Roman" w:hAnsi="Times New Roman" w:eastAsia="Times New Roman" w:cs="Times New Roman"/>
                <w:color w:val="000000"/>
                <w:sz w:val="20"/>
              </w:rPr>
              <w:t>Solar</w:t>
            </w:r>
          </w:p>
        </w:tc>
        <w:tc>
          <w:tcPr>
            <w:tcW w:type="dxa" w:w="1256"/>
          </w:tcPr>
          <w:p>
            <w:pPr>
              <w:spacing w:after="20" w:line="240" w:lineRule="auto"/>
            </w:pPr>
            <w:r/>
            <w:r>
              <w:rPr>
                <w:rFonts w:ascii="Times New Roman" w:hAnsi="Times New Roman" w:eastAsia="Times New Roman" w:cs="Times New Roman"/>
                <w:color w:val="000000"/>
                <w:sz w:val="20"/>
              </w:rPr>
              <w:t>West</w:t>
            </w:r>
          </w:p>
        </w:tc>
        <w:tc>
          <w:tcPr>
            <w:tcW w:type="dxa" w:w="3644"/>
          </w:tcPr>
          <w:p>
            <w:pPr>
              <w:spacing w:after="20" w:line="240" w:lineRule="auto"/>
            </w:pPr>
            <w:r/>
            <w:r>
              <w:rPr>
                <w:rFonts w:ascii="Times New Roman" w:hAnsi="Times New Roman" w:eastAsia="Times New Roman" w:cs="Times New Roman"/>
                <w:color w:val="000000"/>
                <w:sz w:val="20"/>
              </w:rPr>
              <w:t>Holt-Winters additive damped</w:t>
            </w:r>
          </w:p>
        </w:tc>
        <w:tc>
          <w:tcPr>
            <w:tcW w:type="dxa" w:w="1005"/>
          </w:tcPr>
          <w:p>
            <w:pPr>
              <w:spacing w:after="20" w:line="240" w:lineRule="auto"/>
            </w:pPr>
            <w:r/>
            <w:r>
              <w:rPr>
                <w:rFonts w:ascii="Times New Roman" w:hAnsi="Times New Roman" w:eastAsia="Times New Roman" w:cs="Times New Roman"/>
                <w:color w:val="000000"/>
                <w:sz w:val="20"/>
              </w:rPr>
              <w:t>570.9</w:t>
            </w:r>
          </w:p>
        </w:tc>
        <w:tc>
          <w:tcPr>
            <w:tcW w:type="dxa" w:w="1005"/>
          </w:tcPr>
          <w:p>
            <w:pPr>
              <w:spacing w:after="20" w:line="240" w:lineRule="auto"/>
            </w:pPr>
            <w:r/>
            <w:r>
              <w:rPr>
                <w:rFonts w:ascii="Times New Roman" w:hAnsi="Times New Roman" w:eastAsia="Times New Roman" w:cs="Times New Roman"/>
                <w:color w:val="000000"/>
                <w:sz w:val="20"/>
              </w:rPr>
              <w:t>685.7</w:t>
            </w:r>
          </w:p>
        </w:tc>
        <w:tc>
          <w:tcPr>
            <w:tcW w:type="dxa" w:w="1005"/>
          </w:tcPr>
          <w:p>
            <w:pPr>
              <w:spacing w:after="20" w:line="240" w:lineRule="auto"/>
            </w:pPr>
            <w:r/>
            <w:r>
              <w:rPr>
                <w:rFonts w:ascii="Times New Roman" w:hAnsi="Times New Roman" w:eastAsia="Times New Roman" w:cs="Times New Roman"/>
                <w:color w:val="000000"/>
                <w:sz w:val="20"/>
              </w:rPr>
              <w:t>7.11</w:t>
            </w:r>
          </w:p>
        </w:tc>
      </w:tr>
      <w:tr>
        <w:tc>
          <w:tcPr>
            <w:tcW w:type="dxa" w:w="1382"/>
          </w:tcPr>
          <w:p>
            <w:pPr>
              <w:spacing w:after="20" w:line="240" w:lineRule="auto"/>
            </w:pPr>
            <w:r/>
            <w:r>
              <w:rPr>
                <w:rFonts w:ascii="Times New Roman" w:hAnsi="Times New Roman" w:eastAsia="Times New Roman" w:cs="Times New Roman"/>
                <w:color w:val="000000"/>
                <w:sz w:val="20"/>
              </w:rPr>
              <w:t>Biomass</w:t>
            </w:r>
          </w:p>
        </w:tc>
        <w:tc>
          <w:tcPr>
            <w:tcW w:type="dxa" w:w="1256"/>
          </w:tcPr>
          <w:p>
            <w:pPr>
              <w:spacing w:after="20" w:line="240" w:lineRule="auto"/>
            </w:pPr>
            <w:r/>
            <w:r>
              <w:rPr>
                <w:rFonts w:ascii="Times New Roman" w:hAnsi="Times New Roman" w:eastAsia="Times New Roman" w:cs="Times New Roman"/>
                <w:color w:val="000000"/>
                <w:sz w:val="20"/>
              </w:rPr>
              <w:t>South</w:t>
            </w:r>
          </w:p>
        </w:tc>
        <w:tc>
          <w:tcPr>
            <w:tcW w:type="dxa" w:w="3644"/>
          </w:tcPr>
          <w:p>
            <w:pPr>
              <w:spacing w:after="20" w:line="240" w:lineRule="auto"/>
            </w:pPr>
            <w:r/>
            <w:r>
              <w:rPr>
                <w:rFonts w:ascii="Times New Roman" w:hAnsi="Times New Roman" w:eastAsia="Times New Roman" w:cs="Times New Roman"/>
                <w:color w:val="000000"/>
                <w:sz w:val="20"/>
              </w:rPr>
              <w:t>SARIMA(0,1,1)(0,1,1)12</w:t>
            </w:r>
          </w:p>
        </w:tc>
        <w:tc>
          <w:tcPr>
            <w:tcW w:type="dxa" w:w="1005"/>
          </w:tcPr>
          <w:p>
            <w:pPr>
              <w:spacing w:after="20" w:line="240" w:lineRule="auto"/>
            </w:pPr>
            <w:r/>
            <w:r>
              <w:rPr>
                <w:rFonts w:ascii="Times New Roman" w:hAnsi="Times New Roman" w:eastAsia="Times New Roman" w:cs="Times New Roman"/>
                <w:color w:val="000000"/>
                <w:sz w:val="20"/>
              </w:rPr>
              <w:t>77.4</w:t>
            </w:r>
          </w:p>
        </w:tc>
        <w:tc>
          <w:tcPr>
            <w:tcW w:type="dxa" w:w="1005"/>
          </w:tcPr>
          <w:p>
            <w:pPr>
              <w:spacing w:after="20" w:line="240" w:lineRule="auto"/>
            </w:pPr>
            <w:r/>
            <w:r>
              <w:rPr>
                <w:rFonts w:ascii="Times New Roman" w:hAnsi="Times New Roman" w:eastAsia="Times New Roman" w:cs="Times New Roman"/>
                <w:color w:val="000000"/>
                <w:sz w:val="20"/>
              </w:rPr>
              <w:t>89.0</w:t>
            </w:r>
          </w:p>
        </w:tc>
        <w:tc>
          <w:tcPr>
            <w:tcW w:type="dxa" w:w="1005"/>
          </w:tcPr>
          <w:p>
            <w:pPr>
              <w:spacing w:after="20" w:line="240" w:lineRule="auto"/>
            </w:pPr>
            <w:r/>
            <w:r>
              <w:rPr>
                <w:rFonts w:ascii="Times New Roman" w:hAnsi="Times New Roman" w:eastAsia="Times New Roman" w:cs="Times New Roman"/>
                <w:color w:val="000000"/>
                <w:sz w:val="20"/>
              </w:rPr>
              <w:t>4.04</w:t>
            </w:r>
          </w:p>
        </w:tc>
      </w:tr>
      <w:tr>
        <w:tc>
          <w:tcPr>
            <w:tcW w:type="dxa" w:w="1382"/>
          </w:tcPr>
          <w:p>
            <w:pPr>
              <w:spacing w:after="20" w:line="240" w:lineRule="auto"/>
            </w:pPr>
            <w:r/>
            <w:r>
              <w:rPr>
                <w:rFonts w:ascii="Times New Roman" w:hAnsi="Times New Roman" w:eastAsia="Times New Roman" w:cs="Times New Roman"/>
                <w:color w:val="000000"/>
                <w:sz w:val="20"/>
              </w:rPr>
              <w:t>Biomass</w:t>
            </w:r>
          </w:p>
        </w:tc>
        <w:tc>
          <w:tcPr>
            <w:tcW w:type="dxa" w:w="1256"/>
          </w:tcPr>
          <w:p>
            <w:pPr>
              <w:spacing w:after="20" w:line="240" w:lineRule="auto"/>
            </w:pPr>
            <w:r/>
            <w:r>
              <w:rPr>
                <w:rFonts w:ascii="Times New Roman" w:hAnsi="Times New Roman" w:eastAsia="Times New Roman" w:cs="Times New Roman"/>
                <w:color w:val="000000"/>
                <w:sz w:val="20"/>
              </w:rPr>
              <w:t>Northeast</w:t>
            </w:r>
          </w:p>
        </w:tc>
        <w:tc>
          <w:tcPr>
            <w:tcW w:type="dxa" w:w="3644"/>
          </w:tcPr>
          <w:p>
            <w:pPr>
              <w:spacing w:after="20" w:line="240" w:lineRule="auto"/>
            </w:pPr>
            <w:r/>
            <w:r>
              <w:rPr>
                <w:rFonts w:ascii="Times New Roman" w:hAnsi="Times New Roman" w:eastAsia="Times New Roman" w:cs="Times New Roman"/>
                <w:color w:val="000000"/>
                <w:sz w:val="20"/>
              </w:rPr>
              <w:t>Gradient Boosting</w:t>
            </w:r>
          </w:p>
        </w:tc>
        <w:tc>
          <w:tcPr>
            <w:tcW w:type="dxa" w:w="1005"/>
          </w:tcPr>
          <w:p>
            <w:pPr>
              <w:spacing w:after="20" w:line="240" w:lineRule="auto"/>
            </w:pPr>
            <w:r/>
            <w:r>
              <w:rPr>
                <w:rFonts w:ascii="Times New Roman" w:hAnsi="Times New Roman" w:eastAsia="Times New Roman" w:cs="Times New Roman"/>
                <w:color w:val="000000"/>
                <w:sz w:val="20"/>
              </w:rPr>
              <w:t>33.4</w:t>
            </w:r>
          </w:p>
        </w:tc>
        <w:tc>
          <w:tcPr>
            <w:tcW w:type="dxa" w:w="1005"/>
          </w:tcPr>
          <w:p>
            <w:pPr>
              <w:spacing w:after="20" w:line="240" w:lineRule="auto"/>
            </w:pPr>
            <w:r/>
            <w:r>
              <w:rPr>
                <w:rFonts w:ascii="Times New Roman" w:hAnsi="Times New Roman" w:eastAsia="Times New Roman" w:cs="Times New Roman"/>
                <w:color w:val="000000"/>
                <w:sz w:val="20"/>
              </w:rPr>
              <w:t>39.6</w:t>
            </w:r>
          </w:p>
        </w:tc>
        <w:tc>
          <w:tcPr>
            <w:tcW w:type="dxa" w:w="1005"/>
          </w:tcPr>
          <w:p>
            <w:pPr>
              <w:spacing w:after="20" w:line="240" w:lineRule="auto"/>
            </w:pPr>
            <w:r/>
            <w:r>
              <w:rPr>
                <w:rFonts w:ascii="Times New Roman" w:hAnsi="Times New Roman" w:eastAsia="Times New Roman" w:cs="Times New Roman"/>
                <w:color w:val="000000"/>
                <w:sz w:val="20"/>
              </w:rPr>
              <w:t>5.39</w:t>
            </w:r>
          </w:p>
        </w:tc>
      </w:tr>
      <w:tr>
        <w:tc>
          <w:tcPr>
            <w:tcW w:type="dxa" w:w="1382"/>
          </w:tcPr>
          <w:p>
            <w:pPr>
              <w:spacing w:after="20" w:line="240" w:lineRule="auto"/>
            </w:pPr>
            <w:r/>
            <w:r>
              <w:rPr>
                <w:rFonts w:ascii="Times New Roman" w:hAnsi="Times New Roman" w:eastAsia="Times New Roman" w:cs="Times New Roman"/>
                <w:color w:val="000000"/>
                <w:sz w:val="20"/>
              </w:rPr>
              <w:t>Biomass</w:t>
            </w:r>
          </w:p>
        </w:tc>
        <w:tc>
          <w:tcPr>
            <w:tcW w:type="dxa" w:w="1256"/>
          </w:tcPr>
          <w:p>
            <w:pPr>
              <w:spacing w:after="20" w:line="240" w:lineRule="auto"/>
            </w:pPr>
            <w:r/>
            <w:r>
              <w:rPr>
                <w:rFonts w:ascii="Times New Roman" w:hAnsi="Times New Roman" w:eastAsia="Times New Roman" w:cs="Times New Roman"/>
                <w:color w:val="000000"/>
                <w:sz w:val="20"/>
              </w:rPr>
              <w:t>Midwest</w:t>
            </w:r>
          </w:p>
        </w:tc>
        <w:tc>
          <w:tcPr>
            <w:tcW w:type="dxa" w:w="3644"/>
          </w:tcPr>
          <w:p>
            <w:pPr>
              <w:spacing w:after="20" w:line="240" w:lineRule="auto"/>
            </w:pPr>
            <w:r/>
            <w:r>
              <w:rPr>
                <w:rFonts w:ascii="Times New Roman" w:hAnsi="Times New Roman" w:eastAsia="Times New Roman" w:cs="Times New Roman"/>
                <w:color w:val="000000"/>
                <w:sz w:val="20"/>
              </w:rPr>
              <w:t>Seasonal naive</w:t>
            </w:r>
          </w:p>
        </w:tc>
        <w:tc>
          <w:tcPr>
            <w:tcW w:type="dxa" w:w="1005"/>
          </w:tcPr>
          <w:p>
            <w:pPr>
              <w:spacing w:after="20" w:line="240" w:lineRule="auto"/>
            </w:pPr>
            <w:r/>
            <w:r>
              <w:rPr>
                <w:rFonts w:ascii="Times New Roman" w:hAnsi="Times New Roman" w:eastAsia="Times New Roman" w:cs="Times New Roman"/>
                <w:color w:val="000000"/>
                <w:sz w:val="20"/>
              </w:rPr>
              <w:t>21.6</w:t>
            </w:r>
          </w:p>
        </w:tc>
        <w:tc>
          <w:tcPr>
            <w:tcW w:type="dxa" w:w="1005"/>
          </w:tcPr>
          <w:p>
            <w:pPr>
              <w:spacing w:after="20" w:line="240" w:lineRule="auto"/>
            </w:pPr>
            <w:r/>
            <w:r>
              <w:rPr>
                <w:rFonts w:ascii="Times New Roman" w:hAnsi="Times New Roman" w:eastAsia="Times New Roman" w:cs="Times New Roman"/>
                <w:color w:val="000000"/>
                <w:sz w:val="20"/>
              </w:rPr>
              <w:t>27.1</w:t>
            </w:r>
          </w:p>
        </w:tc>
        <w:tc>
          <w:tcPr>
            <w:tcW w:type="dxa" w:w="1005"/>
          </w:tcPr>
          <w:p>
            <w:pPr>
              <w:spacing w:after="20" w:line="240" w:lineRule="auto"/>
            </w:pPr>
            <w:r/>
            <w:r>
              <w:rPr>
                <w:rFonts w:ascii="Times New Roman" w:hAnsi="Times New Roman" w:eastAsia="Times New Roman" w:cs="Times New Roman"/>
                <w:color w:val="000000"/>
                <w:sz w:val="20"/>
              </w:rPr>
              <w:t>4.63</w:t>
            </w:r>
          </w:p>
        </w:tc>
      </w:tr>
      <w:tr>
        <w:tc>
          <w:tcPr>
            <w:tcW w:type="dxa" w:w="1382"/>
          </w:tcPr>
          <w:p>
            <w:pPr>
              <w:spacing w:after="20" w:line="240" w:lineRule="auto"/>
            </w:pPr>
            <w:r/>
            <w:r>
              <w:rPr>
                <w:rFonts w:ascii="Times New Roman" w:hAnsi="Times New Roman" w:eastAsia="Times New Roman" w:cs="Times New Roman"/>
                <w:color w:val="000000"/>
                <w:sz w:val="20"/>
              </w:rPr>
              <w:t>Biomass</w:t>
            </w:r>
          </w:p>
        </w:tc>
        <w:tc>
          <w:tcPr>
            <w:tcW w:type="dxa" w:w="1256"/>
          </w:tcPr>
          <w:p>
            <w:pPr>
              <w:spacing w:after="20" w:line="240" w:lineRule="auto"/>
            </w:pPr>
            <w:r/>
            <w:r>
              <w:rPr>
                <w:rFonts w:ascii="Times New Roman" w:hAnsi="Times New Roman" w:eastAsia="Times New Roman" w:cs="Times New Roman"/>
                <w:color w:val="000000"/>
                <w:sz w:val="20"/>
              </w:rPr>
              <w:t>West</w:t>
            </w:r>
          </w:p>
        </w:tc>
        <w:tc>
          <w:tcPr>
            <w:tcW w:type="dxa" w:w="3644"/>
          </w:tcPr>
          <w:p>
            <w:pPr>
              <w:spacing w:after="20" w:line="240" w:lineRule="auto"/>
            </w:pPr>
            <w:r/>
            <w:r>
              <w:rPr>
                <w:rFonts w:ascii="Times New Roman" w:hAnsi="Times New Roman" w:eastAsia="Times New Roman" w:cs="Times New Roman"/>
                <w:color w:val="000000"/>
                <w:sz w:val="20"/>
              </w:rPr>
              <w:t>SARIMA(0,1,2)(0,1,1)12</w:t>
            </w:r>
          </w:p>
        </w:tc>
        <w:tc>
          <w:tcPr>
            <w:tcW w:type="dxa" w:w="1005"/>
          </w:tcPr>
          <w:p>
            <w:pPr>
              <w:spacing w:after="20" w:line="240" w:lineRule="auto"/>
            </w:pPr>
            <w:r/>
            <w:r>
              <w:rPr>
                <w:rFonts w:ascii="Times New Roman" w:hAnsi="Times New Roman" w:eastAsia="Times New Roman" w:cs="Times New Roman"/>
                <w:color w:val="000000"/>
                <w:sz w:val="20"/>
              </w:rPr>
              <w:t>32.2</w:t>
            </w:r>
          </w:p>
        </w:tc>
        <w:tc>
          <w:tcPr>
            <w:tcW w:type="dxa" w:w="1005"/>
          </w:tcPr>
          <w:p>
            <w:pPr>
              <w:spacing w:after="20" w:line="240" w:lineRule="auto"/>
            </w:pPr>
            <w:r/>
            <w:r>
              <w:rPr>
                <w:rFonts w:ascii="Times New Roman" w:hAnsi="Times New Roman" w:eastAsia="Times New Roman" w:cs="Times New Roman"/>
                <w:color w:val="000000"/>
                <w:sz w:val="20"/>
              </w:rPr>
              <w:t>40.3</w:t>
            </w:r>
          </w:p>
        </w:tc>
        <w:tc>
          <w:tcPr>
            <w:tcW w:type="dxa" w:w="1005"/>
          </w:tcPr>
          <w:p>
            <w:pPr>
              <w:spacing w:after="20" w:line="240" w:lineRule="auto"/>
            </w:pPr>
            <w:r/>
            <w:r>
              <w:rPr>
                <w:rFonts w:ascii="Times New Roman" w:hAnsi="Times New Roman" w:eastAsia="Times New Roman" w:cs="Times New Roman"/>
                <w:color w:val="000000"/>
                <w:sz w:val="20"/>
              </w:rPr>
              <w:t>5.18</w:t>
            </w:r>
          </w:p>
        </w:tc>
      </w:tr>
      <w:tr>
        <w:tc>
          <w:tcPr>
            <w:tcW w:type="dxa" w:w="1382"/>
          </w:tcPr>
          <w:p>
            <w:pPr>
              <w:spacing w:after="20" w:line="240" w:lineRule="auto"/>
            </w:pPr>
            <w:r/>
            <w:r>
              <w:rPr>
                <w:rFonts w:ascii="Times New Roman" w:hAnsi="Times New Roman" w:eastAsia="Times New Roman" w:cs="Times New Roman"/>
                <w:color w:val="000000"/>
                <w:sz w:val="20"/>
              </w:rPr>
              <w:t>Geothermal</w:t>
            </w:r>
          </w:p>
        </w:tc>
        <w:tc>
          <w:tcPr>
            <w:tcW w:type="dxa" w:w="1256"/>
          </w:tcPr>
          <w:p>
            <w:pPr>
              <w:spacing w:after="20" w:line="240" w:lineRule="auto"/>
            </w:pPr>
            <w:r/>
            <w:r>
              <w:rPr>
                <w:rFonts w:ascii="Times New Roman" w:hAnsi="Times New Roman" w:eastAsia="Times New Roman" w:cs="Times New Roman"/>
                <w:color w:val="000000"/>
                <w:sz w:val="20"/>
              </w:rPr>
              <w:t>West</w:t>
            </w:r>
          </w:p>
        </w:tc>
        <w:tc>
          <w:tcPr>
            <w:tcW w:type="dxa" w:w="3644"/>
          </w:tcPr>
          <w:p>
            <w:pPr>
              <w:spacing w:after="20" w:line="240" w:lineRule="auto"/>
            </w:pPr>
            <w:r/>
            <w:r>
              <w:rPr>
                <w:rFonts w:ascii="Times New Roman" w:hAnsi="Times New Roman" w:eastAsia="Times New Roman" w:cs="Times New Roman"/>
                <w:color w:val="000000"/>
                <w:sz w:val="20"/>
              </w:rPr>
              <w:t>SARIMA(1,1,1)(1,0,1)12</w:t>
            </w:r>
          </w:p>
        </w:tc>
        <w:tc>
          <w:tcPr>
            <w:tcW w:type="dxa" w:w="1005"/>
          </w:tcPr>
          <w:p>
            <w:pPr>
              <w:spacing w:after="20" w:line="240" w:lineRule="auto"/>
            </w:pPr>
            <w:r/>
            <w:r>
              <w:rPr>
                <w:rFonts w:ascii="Times New Roman" w:hAnsi="Times New Roman" w:eastAsia="Times New Roman" w:cs="Times New Roman"/>
                <w:color w:val="000000"/>
                <w:sz w:val="20"/>
              </w:rPr>
              <w:t>44.3</w:t>
            </w:r>
          </w:p>
        </w:tc>
        <w:tc>
          <w:tcPr>
            <w:tcW w:type="dxa" w:w="1005"/>
          </w:tcPr>
          <w:p>
            <w:pPr>
              <w:spacing w:after="20" w:line="240" w:lineRule="auto"/>
            </w:pPr>
            <w:r/>
            <w:r>
              <w:rPr>
                <w:rFonts w:ascii="Times New Roman" w:hAnsi="Times New Roman" w:eastAsia="Times New Roman" w:cs="Times New Roman"/>
                <w:color w:val="000000"/>
                <w:sz w:val="20"/>
              </w:rPr>
              <w:t>51.9</w:t>
            </w:r>
          </w:p>
        </w:tc>
        <w:tc>
          <w:tcPr>
            <w:tcW w:type="dxa" w:w="1005"/>
          </w:tcPr>
          <w:p>
            <w:pPr>
              <w:spacing w:after="20" w:line="240" w:lineRule="auto"/>
            </w:pPr>
            <w:r/>
            <w:r>
              <w:rPr>
                <w:rFonts w:ascii="Times New Roman" w:hAnsi="Times New Roman" w:eastAsia="Times New Roman" w:cs="Times New Roman"/>
                <w:color w:val="000000"/>
                <w:sz w:val="20"/>
              </w:rPr>
              <w:t>3.47</w:t>
            </w:r>
          </w:p>
        </w:tc>
      </w:tr>
    </w:tbl>
    <w:p>
      <w:pPr>
        <w:spacing w:after="40"/>
      </w:pPr>
    </w:p>
    <w:p>
      <w:pPr>
        <w:keepNext/>
        <w:spacing w:before="120"/>
      </w:pPr>
      <w:r>
        <w:rPr>
          <w:rFonts w:ascii="Times New Roman" w:hAnsi="Times New Roman" w:eastAsia="Times New Roman" w:cs="Times New Roman"/>
          <w:b/>
          <w:color w:val="000000"/>
          <w:sz w:val="22"/>
        </w:rPr>
        <w:t>Table 9.3 SARIMA (AIC-selected, D = 0 version in the Northeast) and seasonal naive in every region (MAE and RMSE in GWh)</w:t>
      </w:r>
    </w:p>
    <w:tbl>
      <w:tblPr>
        <w:tblStyle w:val="TableGrid"/>
        <w:tblW w:type="auto" w:w="0"/>
        <w:jc w:val="center"/>
        <w:tblLayout w:type="fixed"/>
        <w:tblLook w:firstColumn="1" w:firstRow="1" w:lastColumn="0" w:lastRow="0" w:noHBand="0" w:noVBand="1" w:val="04A0"/>
        <w:tblLayout w:type="fixed"/>
      </w:tblPr>
      <w:tblGrid>
        <w:gridCol w:w="1420"/>
        <w:gridCol w:w="1291"/>
        <w:gridCol w:w="1033"/>
        <w:gridCol w:w="1033"/>
        <w:gridCol w:w="1033"/>
        <w:gridCol w:w="1162"/>
        <w:gridCol w:w="1162"/>
        <w:gridCol w:w="1162"/>
      </w:tblGrid>
      <w:tr>
        <w:trPr>
          <w:tblHeader w:val="true"/>
        </w:trPr>
        <w:tc>
          <w:tcPr>
            <w:tcW w:type="dxa" w:w="1420"/>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291"/>
            <w:shd w:val="clear" w:color="auto" w:fill="E7E7E7"/>
          </w:tcPr>
          <w:p>
            <w:pPr>
              <w:spacing w:after="20" w:line="240" w:lineRule="auto"/>
            </w:pPr>
            <w:r/>
            <w:r>
              <w:rPr>
                <w:rFonts w:ascii="Times New Roman" w:hAnsi="Times New Roman" w:eastAsia="Times New Roman" w:cs="Times New Roman"/>
                <w:b/>
                <w:color w:val="000000"/>
                <w:sz w:val="18"/>
              </w:rPr>
              <w:t>Region</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SARIMA MAE</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SARIMA RMSE</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SARIMA MAPE (%)</w:t>
            </w:r>
          </w:p>
        </w:tc>
        <w:tc>
          <w:tcPr>
            <w:tcW w:type="dxa" w:w="1162"/>
            <w:shd w:val="clear" w:color="auto" w:fill="E7E7E7"/>
          </w:tcPr>
          <w:p>
            <w:pPr>
              <w:spacing w:after="20" w:line="240" w:lineRule="auto"/>
            </w:pPr>
            <w:r/>
            <w:r>
              <w:rPr>
                <w:rFonts w:ascii="Times New Roman" w:hAnsi="Times New Roman" w:eastAsia="Times New Roman" w:cs="Times New Roman"/>
                <w:b/>
                <w:color w:val="000000"/>
                <w:sz w:val="18"/>
              </w:rPr>
              <w:t>Seasonal naive MAE</w:t>
            </w:r>
          </w:p>
        </w:tc>
        <w:tc>
          <w:tcPr>
            <w:tcW w:type="dxa" w:w="1162"/>
            <w:shd w:val="clear" w:color="auto" w:fill="E7E7E7"/>
          </w:tcPr>
          <w:p>
            <w:pPr>
              <w:spacing w:after="20" w:line="240" w:lineRule="auto"/>
            </w:pPr>
            <w:r/>
            <w:r>
              <w:rPr>
                <w:rFonts w:ascii="Times New Roman" w:hAnsi="Times New Roman" w:eastAsia="Times New Roman" w:cs="Times New Roman"/>
                <w:b/>
                <w:color w:val="000000"/>
                <w:sz w:val="18"/>
              </w:rPr>
              <w:t>Seasonal naive RMSE</w:t>
            </w:r>
          </w:p>
        </w:tc>
        <w:tc>
          <w:tcPr>
            <w:tcW w:type="dxa" w:w="1162"/>
            <w:shd w:val="clear" w:color="auto" w:fill="E7E7E7"/>
          </w:tcPr>
          <w:p>
            <w:pPr>
              <w:spacing w:after="20" w:line="240" w:lineRule="auto"/>
            </w:pPr>
            <w:r/>
            <w:r>
              <w:rPr>
                <w:rFonts w:ascii="Times New Roman" w:hAnsi="Times New Roman" w:eastAsia="Times New Roman" w:cs="Times New Roman"/>
                <w:b/>
                <w:color w:val="000000"/>
                <w:sz w:val="18"/>
              </w:rPr>
              <w:t>Seasonal naive MAPE (%)</w:t>
            </w:r>
          </w:p>
        </w:tc>
      </w:tr>
      <w:tr>
        <w:tc>
          <w:tcPr>
            <w:tcW w:type="dxa" w:w="1420"/>
          </w:tcPr>
          <w:p>
            <w:pPr>
              <w:spacing w:after="20" w:line="240" w:lineRule="auto"/>
            </w:pPr>
            <w:r/>
            <w:r>
              <w:rPr>
                <w:rFonts w:ascii="Times New Roman" w:hAnsi="Times New Roman" w:eastAsia="Times New Roman" w:cs="Times New Roman"/>
                <w:color w:val="000000"/>
                <w:sz w:val="18"/>
              </w:rPr>
              <w:t>Hydro</w:t>
            </w:r>
          </w:p>
        </w:tc>
        <w:tc>
          <w:tcPr>
            <w:tcW w:type="dxa" w:w="1291"/>
          </w:tcPr>
          <w:p>
            <w:pPr>
              <w:spacing w:after="20" w:line="240" w:lineRule="auto"/>
            </w:pPr>
            <w:r/>
            <w:r>
              <w:rPr>
                <w:rFonts w:ascii="Times New Roman" w:hAnsi="Times New Roman" w:eastAsia="Times New Roman" w:cs="Times New Roman"/>
                <w:color w:val="000000"/>
                <w:sz w:val="18"/>
              </w:rPr>
              <w:t>South</w:t>
            </w:r>
          </w:p>
        </w:tc>
        <w:tc>
          <w:tcPr>
            <w:tcW w:type="dxa" w:w="1033"/>
          </w:tcPr>
          <w:p>
            <w:pPr>
              <w:spacing w:after="20" w:line="240" w:lineRule="auto"/>
            </w:pPr>
            <w:r/>
            <w:r>
              <w:rPr>
                <w:rFonts w:ascii="Times New Roman" w:hAnsi="Times New Roman" w:eastAsia="Times New Roman" w:cs="Times New Roman"/>
                <w:color w:val="000000"/>
                <w:sz w:val="18"/>
              </w:rPr>
              <w:t>540.6</w:t>
            </w:r>
          </w:p>
        </w:tc>
        <w:tc>
          <w:tcPr>
            <w:tcW w:type="dxa" w:w="1033"/>
          </w:tcPr>
          <w:p>
            <w:pPr>
              <w:spacing w:after="20" w:line="240" w:lineRule="auto"/>
            </w:pPr>
            <w:r/>
            <w:r>
              <w:rPr>
                <w:rFonts w:ascii="Times New Roman" w:hAnsi="Times New Roman" w:eastAsia="Times New Roman" w:cs="Times New Roman"/>
                <w:color w:val="000000"/>
                <w:sz w:val="18"/>
              </w:rPr>
              <w:t>661.7</w:t>
            </w:r>
          </w:p>
        </w:tc>
        <w:tc>
          <w:tcPr>
            <w:tcW w:type="dxa" w:w="1033"/>
          </w:tcPr>
          <w:p>
            <w:pPr>
              <w:spacing w:after="20" w:line="240" w:lineRule="auto"/>
            </w:pPr>
            <w:r/>
            <w:r>
              <w:rPr>
                <w:rFonts w:ascii="Times New Roman" w:hAnsi="Times New Roman" w:eastAsia="Times New Roman" w:cs="Times New Roman"/>
                <w:color w:val="000000"/>
                <w:sz w:val="18"/>
              </w:rPr>
              <w:t>17.13</w:t>
            </w:r>
          </w:p>
        </w:tc>
        <w:tc>
          <w:tcPr>
            <w:tcW w:type="dxa" w:w="1162"/>
          </w:tcPr>
          <w:p>
            <w:pPr>
              <w:spacing w:after="20" w:line="240" w:lineRule="auto"/>
            </w:pPr>
            <w:r/>
            <w:r>
              <w:rPr>
                <w:rFonts w:ascii="Times New Roman" w:hAnsi="Times New Roman" w:eastAsia="Times New Roman" w:cs="Times New Roman"/>
                <w:color w:val="000000"/>
                <w:sz w:val="18"/>
              </w:rPr>
              <w:t>684.0</w:t>
            </w:r>
          </w:p>
        </w:tc>
        <w:tc>
          <w:tcPr>
            <w:tcW w:type="dxa" w:w="1162"/>
          </w:tcPr>
          <w:p>
            <w:pPr>
              <w:spacing w:after="20" w:line="240" w:lineRule="auto"/>
            </w:pPr>
            <w:r/>
            <w:r>
              <w:rPr>
                <w:rFonts w:ascii="Times New Roman" w:hAnsi="Times New Roman" w:eastAsia="Times New Roman" w:cs="Times New Roman"/>
                <w:color w:val="000000"/>
                <w:sz w:val="18"/>
              </w:rPr>
              <w:t>883.0</w:t>
            </w:r>
          </w:p>
        </w:tc>
        <w:tc>
          <w:tcPr>
            <w:tcW w:type="dxa" w:w="1162"/>
          </w:tcPr>
          <w:p>
            <w:pPr>
              <w:spacing w:after="20" w:line="240" w:lineRule="auto"/>
            </w:pPr>
            <w:r/>
            <w:r>
              <w:rPr>
                <w:rFonts w:ascii="Times New Roman" w:hAnsi="Times New Roman" w:eastAsia="Times New Roman" w:cs="Times New Roman"/>
                <w:color w:val="000000"/>
                <w:sz w:val="18"/>
              </w:rPr>
              <w:t>20.69</w:t>
            </w:r>
          </w:p>
        </w:tc>
      </w:tr>
      <w:tr>
        <w:tc>
          <w:tcPr>
            <w:tcW w:type="dxa" w:w="1420"/>
          </w:tcPr>
          <w:p>
            <w:pPr>
              <w:spacing w:after="20" w:line="240" w:lineRule="auto"/>
            </w:pPr>
            <w:r/>
            <w:r>
              <w:rPr>
                <w:rFonts w:ascii="Times New Roman" w:hAnsi="Times New Roman" w:eastAsia="Times New Roman" w:cs="Times New Roman"/>
                <w:color w:val="000000"/>
                <w:sz w:val="18"/>
              </w:rPr>
              <w:t>Hydro</w:t>
            </w:r>
          </w:p>
        </w:tc>
        <w:tc>
          <w:tcPr>
            <w:tcW w:type="dxa" w:w="1291"/>
          </w:tcPr>
          <w:p>
            <w:pPr>
              <w:spacing w:after="20" w:line="240" w:lineRule="auto"/>
            </w:pPr>
            <w:r/>
            <w:r>
              <w:rPr>
                <w:rFonts w:ascii="Times New Roman" w:hAnsi="Times New Roman" w:eastAsia="Times New Roman" w:cs="Times New Roman"/>
                <w:color w:val="000000"/>
                <w:sz w:val="18"/>
              </w:rPr>
              <w:t>Northeast</w:t>
            </w:r>
          </w:p>
        </w:tc>
        <w:tc>
          <w:tcPr>
            <w:tcW w:type="dxa" w:w="1033"/>
          </w:tcPr>
          <w:p>
            <w:pPr>
              <w:spacing w:after="20" w:line="240" w:lineRule="auto"/>
            </w:pPr>
            <w:r/>
            <w:r>
              <w:rPr>
                <w:rFonts w:ascii="Times New Roman" w:hAnsi="Times New Roman" w:eastAsia="Times New Roman" w:cs="Times New Roman"/>
                <w:color w:val="000000"/>
                <w:sz w:val="18"/>
              </w:rPr>
              <w:t>165.6</w:t>
            </w:r>
          </w:p>
        </w:tc>
        <w:tc>
          <w:tcPr>
            <w:tcW w:type="dxa" w:w="1033"/>
          </w:tcPr>
          <w:p>
            <w:pPr>
              <w:spacing w:after="20" w:line="240" w:lineRule="auto"/>
            </w:pPr>
            <w:r/>
            <w:r>
              <w:rPr>
                <w:rFonts w:ascii="Times New Roman" w:hAnsi="Times New Roman" w:eastAsia="Times New Roman" w:cs="Times New Roman"/>
                <w:color w:val="000000"/>
                <w:sz w:val="18"/>
              </w:rPr>
              <w:t>220.7</w:t>
            </w:r>
          </w:p>
        </w:tc>
        <w:tc>
          <w:tcPr>
            <w:tcW w:type="dxa" w:w="1033"/>
          </w:tcPr>
          <w:p>
            <w:pPr>
              <w:spacing w:after="20" w:line="240" w:lineRule="auto"/>
            </w:pPr>
            <w:r/>
            <w:r>
              <w:rPr>
                <w:rFonts w:ascii="Times New Roman" w:hAnsi="Times New Roman" w:eastAsia="Times New Roman" w:cs="Times New Roman"/>
                <w:color w:val="000000"/>
                <w:sz w:val="18"/>
              </w:rPr>
              <w:t>5.95</w:t>
            </w:r>
          </w:p>
        </w:tc>
        <w:tc>
          <w:tcPr>
            <w:tcW w:type="dxa" w:w="1162"/>
          </w:tcPr>
          <w:p>
            <w:pPr>
              <w:spacing w:after="20" w:line="240" w:lineRule="auto"/>
            </w:pPr>
            <w:r/>
            <w:r>
              <w:rPr>
                <w:rFonts w:ascii="Times New Roman" w:hAnsi="Times New Roman" w:eastAsia="Times New Roman" w:cs="Times New Roman"/>
                <w:color w:val="000000"/>
                <w:sz w:val="18"/>
              </w:rPr>
              <w:t>213.6</w:t>
            </w:r>
          </w:p>
        </w:tc>
        <w:tc>
          <w:tcPr>
            <w:tcW w:type="dxa" w:w="1162"/>
          </w:tcPr>
          <w:p>
            <w:pPr>
              <w:spacing w:after="20" w:line="240" w:lineRule="auto"/>
            </w:pPr>
            <w:r/>
            <w:r>
              <w:rPr>
                <w:rFonts w:ascii="Times New Roman" w:hAnsi="Times New Roman" w:eastAsia="Times New Roman" w:cs="Times New Roman"/>
                <w:color w:val="000000"/>
                <w:sz w:val="18"/>
              </w:rPr>
              <w:t>241.6</w:t>
            </w:r>
          </w:p>
        </w:tc>
        <w:tc>
          <w:tcPr>
            <w:tcW w:type="dxa" w:w="1162"/>
          </w:tcPr>
          <w:p>
            <w:pPr>
              <w:spacing w:after="20" w:line="240" w:lineRule="auto"/>
            </w:pPr>
            <w:r/>
            <w:r>
              <w:rPr>
                <w:rFonts w:ascii="Times New Roman" w:hAnsi="Times New Roman" w:eastAsia="Times New Roman" w:cs="Times New Roman"/>
                <w:color w:val="000000"/>
                <w:sz w:val="18"/>
              </w:rPr>
              <w:t>7.75</w:t>
            </w:r>
          </w:p>
        </w:tc>
      </w:tr>
      <w:tr>
        <w:tc>
          <w:tcPr>
            <w:tcW w:type="dxa" w:w="1420"/>
          </w:tcPr>
          <w:p>
            <w:pPr>
              <w:spacing w:after="20" w:line="240" w:lineRule="auto"/>
            </w:pPr>
            <w:r/>
            <w:r>
              <w:rPr>
                <w:rFonts w:ascii="Times New Roman" w:hAnsi="Times New Roman" w:eastAsia="Times New Roman" w:cs="Times New Roman"/>
                <w:color w:val="000000"/>
                <w:sz w:val="18"/>
              </w:rPr>
              <w:t>Hydro</w:t>
            </w:r>
          </w:p>
        </w:tc>
        <w:tc>
          <w:tcPr>
            <w:tcW w:type="dxa" w:w="1291"/>
          </w:tcPr>
          <w:p>
            <w:pPr>
              <w:spacing w:after="20" w:line="240" w:lineRule="auto"/>
            </w:pPr>
            <w:r/>
            <w:r>
              <w:rPr>
                <w:rFonts w:ascii="Times New Roman" w:hAnsi="Times New Roman" w:eastAsia="Times New Roman" w:cs="Times New Roman"/>
                <w:color w:val="000000"/>
                <w:sz w:val="18"/>
              </w:rPr>
              <w:t>Midwest</w:t>
            </w:r>
          </w:p>
        </w:tc>
        <w:tc>
          <w:tcPr>
            <w:tcW w:type="dxa" w:w="1033"/>
          </w:tcPr>
          <w:p>
            <w:pPr>
              <w:spacing w:after="20" w:line="240" w:lineRule="auto"/>
            </w:pPr>
            <w:r/>
            <w:r>
              <w:rPr>
                <w:rFonts w:ascii="Times New Roman" w:hAnsi="Times New Roman" w:eastAsia="Times New Roman" w:cs="Times New Roman"/>
                <w:color w:val="000000"/>
                <w:sz w:val="18"/>
              </w:rPr>
              <w:t>241.3</w:t>
            </w:r>
          </w:p>
        </w:tc>
        <w:tc>
          <w:tcPr>
            <w:tcW w:type="dxa" w:w="1033"/>
          </w:tcPr>
          <w:p>
            <w:pPr>
              <w:spacing w:after="20" w:line="240" w:lineRule="auto"/>
            </w:pPr>
            <w:r/>
            <w:r>
              <w:rPr>
                <w:rFonts w:ascii="Times New Roman" w:hAnsi="Times New Roman" w:eastAsia="Times New Roman" w:cs="Times New Roman"/>
                <w:color w:val="000000"/>
                <w:sz w:val="18"/>
              </w:rPr>
              <w:t>322.2</w:t>
            </w:r>
          </w:p>
        </w:tc>
        <w:tc>
          <w:tcPr>
            <w:tcW w:type="dxa" w:w="1033"/>
          </w:tcPr>
          <w:p>
            <w:pPr>
              <w:spacing w:after="20" w:line="240" w:lineRule="auto"/>
            </w:pPr>
            <w:r/>
            <w:r>
              <w:rPr>
                <w:rFonts w:ascii="Times New Roman" w:hAnsi="Times New Roman" w:eastAsia="Times New Roman" w:cs="Times New Roman"/>
                <w:color w:val="000000"/>
                <w:sz w:val="18"/>
              </w:rPr>
              <w:t>15.84</w:t>
            </w:r>
          </w:p>
        </w:tc>
        <w:tc>
          <w:tcPr>
            <w:tcW w:type="dxa" w:w="1162"/>
          </w:tcPr>
          <w:p>
            <w:pPr>
              <w:spacing w:after="20" w:line="240" w:lineRule="auto"/>
            </w:pPr>
            <w:r/>
            <w:r>
              <w:rPr>
                <w:rFonts w:ascii="Times New Roman" w:hAnsi="Times New Roman" w:eastAsia="Times New Roman" w:cs="Times New Roman"/>
                <w:color w:val="000000"/>
                <w:sz w:val="18"/>
              </w:rPr>
              <w:t>230.0</w:t>
            </w:r>
          </w:p>
        </w:tc>
        <w:tc>
          <w:tcPr>
            <w:tcW w:type="dxa" w:w="1162"/>
          </w:tcPr>
          <w:p>
            <w:pPr>
              <w:spacing w:after="20" w:line="240" w:lineRule="auto"/>
            </w:pPr>
            <w:r/>
            <w:r>
              <w:rPr>
                <w:rFonts w:ascii="Times New Roman" w:hAnsi="Times New Roman" w:eastAsia="Times New Roman" w:cs="Times New Roman"/>
                <w:color w:val="000000"/>
                <w:sz w:val="18"/>
              </w:rPr>
              <w:t>342.3</w:t>
            </w:r>
          </w:p>
        </w:tc>
        <w:tc>
          <w:tcPr>
            <w:tcW w:type="dxa" w:w="1162"/>
          </w:tcPr>
          <w:p>
            <w:pPr>
              <w:spacing w:after="20" w:line="240" w:lineRule="auto"/>
            </w:pPr>
            <w:r/>
            <w:r>
              <w:rPr>
                <w:rFonts w:ascii="Times New Roman" w:hAnsi="Times New Roman" w:eastAsia="Times New Roman" w:cs="Times New Roman"/>
                <w:color w:val="000000"/>
                <w:sz w:val="18"/>
              </w:rPr>
              <w:t>15.09</w:t>
            </w:r>
          </w:p>
        </w:tc>
      </w:tr>
      <w:tr>
        <w:tc>
          <w:tcPr>
            <w:tcW w:type="dxa" w:w="1420"/>
          </w:tcPr>
          <w:p>
            <w:pPr>
              <w:spacing w:after="20" w:line="240" w:lineRule="auto"/>
            </w:pPr>
            <w:r/>
            <w:r>
              <w:rPr>
                <w:rFonts w:ascii="Times New Roman" w:hAnsi="Times New Roman" w:eastAsia="Times New Roman" w:cs="Times New Roman"/>
                <w:color w:val="000000"/>
                <w:sz w:val="18"/>
              </w:rPr>
              <w:t>Hydro</w:t>
            </w:r>
          </w:p>
        </w:tc>
        <w:tc>
          <w:tcPr>
            <w:tcW w:type="dxa" w:w="1291"/>
          </w:tcPr>
          <w:p>
            <w:pPr>
              <w:spacing w:after="20" w:line="240" w:lineRule="auto"/>
            </w:pPr>
            <w:r/>
            <w:r>
              <w:rPr>
                <w:rFonts w:ascii="Times New Roman" w:hAnsi="Times New Roman" w:eastAsia="Times New Roman" w:cs="Times New Roman"/>
                <w:color w:val="000000"/>
                <w:sz w:val="18"/>
              </w:rPr>
              <w:t>West</w:t>
            </w:r>
          </w:p>
        </w:tc>
        <w:tc>
          <w:tcPr>
            <w:tcW w:type="dxa" w:w="1033"/>
          </w:tcPr>
          <w:p>
            <w:pPr>
              <w:spacing w:after="20" w:line="240" w:lineRule="auto"/>
            </w:pPr>
            <w:r/>
            <w:r>
              <w:rPr>
                <w:rFonts w:ascii="Times New Roman" w:hAnsi="Times New Roman" w:eastAsia="Times New Roman" w:cs="Times New Roman"/>
                <w:color w:val="000000"/>
                <w:sz w:val="18"/>
              </w:rPr>
              <w:t>1,565.3</w:t>
            </w:r>
          </w:p>
        </w:tc>
        <w:tc>
          <w:tcPr>
            <w:tcW w:type="dxa" w:w="1033"/>
          </w:tcPr>
          <w:p>
            <w:pPr>
              <w:spacing w:after="20" w:line="240" w:lineRule="auto"/>
            </w:pPr>
            <w:r/>
            <w:r>
              <w:rPr>
                <w:rFonts w:ascii="Times New Roman" w:hAnsi="Times New Roman" w:eastAsia="Times New Roman" w:cs="Times New Roman"/>
                <w:color w:val="000000"/>
                <w:sz w:val="18"/>
              </w:rPr>
              <w:t>2,204.9</w:t>
            </w:r>
          </w:p>
        </w:tc>
        <w:tc>
          <w:tcPr>
            <w:tcW w:type="dxa" w:w="1033"/>
          </w:tcPr>
          <w:p>
            <w:pPr>
              <w:spacing w:after="20" w:line="240" w:lineRule="auto"/>
            </w:pPr>
            <w:r/>
            <w:r>
              <w:rPr>
                <w:rFonts w:ascii="Times New Roman" w:hAnsi="Times New Roman" w:eastAsia="Times New Roman" w:cs="Times New Roman"/>
                <w:color w:val="000000"/>
                <w:sz w:val="18"/>
              </w:rPr>
              <w:t>10.62</w:t>
            </w:r>
          </w:p>
        </w:tc>
        <w:tc>
          <w:tcPr>
            <w:tcW w:type="dxa" w:w="1162"/>
          </w:tcPr>
          <w:p>
            <w:pPr>
              <w:spacing w:after="20" w:line="240" w:lineRule="auto"/>
            </w:pPr>
            <w:r/>
            <w:r>
              <w:rPr>
                <w:rFonts w:ascii="Times New Roman" w:hAnsi="Times New Roman" w:eastAsia="Times New Roman" w:cs="Times New Roman"/>
                <w:color w:val="000000"/>
                <w:sz w:val="18"/>
              </w:rPr>
              <w:t>1,668.6</w:t>
            </w:r>
          </w:p>
        </w:tc>
        <w:tc>
          <w:tcPr>
            <w:tcW w:type="dxa" w:w="1162"/>
          </w:tcPr>
          <w:p>
            <w:pPr>
              <w:spacing w:after="20" w:line="240" w:lineRule="auto"/>
            </w:pPr>
            <w:r/>
            <w:r>
              <w:rPr>
                <w:rFonts w:ascii="Times New Roman" w:hAnsi="Times New Roman" w:eastAsia="Times New Roman" w:cs="Times New Roman"/>
                <w:color w:val="000000"/>
                <w:sz w:val="18"/>
              </w:rPr>
              <w:t>2,546.4</w:t>
            </w:r>
          </w:p>
        </w:tc>
        <w:tc>
          <w:tcPr>
            <w:tcW w:type="dxa" w:w="1162"/>
          </w:tcPr>
          <w:p>
            <w:pPr>
              <w:spacing w:after="20" w:line="240" w:lineRule="auto"/>
            </w:pPr>
            <w:r/>
            <w:r>
              <w:rPr>
                <w:rFonts w:ascii="Times New Roman" w:hAnsi="Times New Roman" w:eastAsia="Times New Roman" w:cs="Times New Roman"/>
                <w:color w:val="000000"/>
                <w:sz w:val="18"/>
              </w:rPr>
              <w:t>11.11</w:t>
            </w:r>
          </w:p>
        </w:tc>
      </w:tr>
      <w:tr>
        <w:tc>
          <w:tcPr>
            <w:tcW w:type="dxa" w:w="1420"/>
          </w:tcPr>
          <w:p>
            <w:pPr>
              <w:spacing w:after="20" w:line="240" w:lineRule="auto"/>
            </w:pPr>
            <w:r/>
            <w:r>
              <w:rPr>
                <w:rFonts w:ascii="Times New Roman" w:hAnsi="Times New Roman" w:eastAsia="Times New Roman" w:cs="Times New Roman"/>
                <w:color w:val="000000"/>
                <w:sz w:val="18"/>
              </w:rPr>
              <w:t>Wind</w:t>
            </w:r>
          </w:p>
        </w:tc>
        <w:tc>
          <w:tcPr>
            <w:tcW w:type="dxa" w:w="1291"/>
          </w:tcPr>
          <w:p>
            <w:pPr>
              <w:spacing w:after="20" w:line="240" w:lineRule="auto"/>
            </w:pPr>
            <w:r/>
            <w:r>
              <w:rPr>
                <w:rFonts w:ascii="Times New Roman" w:hAnsi="Times New Roman" w:eastAsia="Times New Roman" w:cs="Times New Roman"/>
                <w:color w:val="000000"/>
                <w:sz w:val="18"/>
              </w:rPr>
              <w:t>South</w:t>
            </w:r>
          </w:p>
        </w:tc>
        <w:tc>
          <w:tcPr>
            <w:tcW w:type="dxa" w:w="1033"/>
          </w:tcPr>
          <w:p>
            <w:pPr>
              <w:spacing w:after="20" w:line="240" w:lineRule="auto"/>
            </w:pPr>
            <w:r/>
            <w:r>
              <w:rPr>
                <w:rFonts w:ascii="Times New Roman" w:hAnsi="Times New Roman" w:eastAsia="Times New Roman" w:cs="Times New Roman"/>
                <w:color w:val="000000"/>
                <w:sz w:val="18"/>
              </w:rPr>
              <w:t>2,871.2</w:t>
            </w:r>
          </w:p>
        </w:tc>
        <w:tc>
          <w:tcPr>
            <w:tcW w:type="dxa" w:w="1033"/>
          </w:tcPr>
          <w:p>
            <w:pPr>
              <w:spacing w:after="20" w:line="240" w:lineRule="auto"/>
            </w:pPr>
            <w:r/>
            <w:r>
              <w:rPr>
                <w:rFonts w:ascii="Times New Roman" w:hAnsi="Times New Roman" w:eastAsia="Times New Roman" w:cs="Times New Roman"/>
                <w:color w:val="000000"/>
                <w:sz w:val="18"/>
              </w:rPr>
              <w:t>3,285.7</w:t>
            </w:r>
          </w:p>
        </w:tc>
        <w:tc>
          <w:tcPr>
            <w:tcW w:type="dxa" w:w="1033"/>
          </w:tcPr>
          <w:p>
            <w:pPr>
              <w:spacing w:after="20" w:line="240" w:lineRule="auto"/>
            </w:pPr>
            <w:r/>
            <w:r>
              <w:rPr>
                <w:rFonts w:ascii="Times New Roman" w:hAnsi="Times New Roman" w:eastAsia="Times New Roman" w:cs="Times New Roman"/>
                <w:color w:val="000000"/>
                <w:sz w:val="18"/>
              </w:rPr>
              <w:t>20.04</w:t>
            </w:r>
          </w:p>
        </w:tc>
        <w:tc>
          <w:tcPr>
            <w:tcW w:type="dxa" w:w="1162"/>
          </w:tcPr>
          <w:p>
            <w:pPr>
              <w:spacing w:after="20" w:line="240" w:lineRule="auto"/>
            </w:pPr>
            <w:r/>
            <w:r>
              <w:rPr>
                <w:rFonts w:ascii="Times New Roman" w:hAnsi="Times New Roman" w:eastAsia="Times New Roman" w:cs="Times New Roman"/>
                <w:color w:val="000000"/>
                <w:sz w:val="18"/>
              </w:rPr>
              <w:t>1,496.9</w:t>
            </w:r>
          </w:p>
        </w:tc>
        <w:tc>
          <w:tcPr>
            <w:tcW w:type="dxa" w:w="1162"/>
          </w:tcPr>
          <w:p>
            <w:pPr>
              <w:spacing w:after="20" w:line="240" w:lineRule="auto"/>
            </w:pPr>
            <w:r/>
            <w:r>
              <w:rPr>
                <w:rFonts w:ascii="Times New Roman" w:hAnsi="Times New Roman" w:eastAsia="Times New Roman" w:cs="Times New Roman"/>
                <w:color w:val="000000"/>
                <w:sz w:val="18"/>
              </w:rPr>
              <w:t>1,884.7</w:t>
            </w:r>
          </w:p>
        </w:tc>
        <w:tc>
          <w:tcPr>
            <w:tcW w:type="dxa" w:w="1162"/>
          </w:tcPr>
          <w:p>
            <w:pPr>
              <w:spacing w:after="20" w:line="240" w:lineRule="auto"/>
            </w:pPr>
            <w:r/>
            <w:r>
              <w:rPr>
                <w:rFonts w:ascii="Times New Roman" w:hAnsi="Times New Roman" w:eastAsia="Times New Roman" w:cs="Times New Roman"/>
                <w:color w:val="000000"/>
                <w:sz w:val="18"/>
              </w:rPr>
              <w:t>10.00</w:t>
            </w:r>
          </w:p>
        </w:tc>
      </w:tr>
      <w:tr>
        <w:tc>
          <w:tcPr>
            <w:tcW w:type="dxa" w:w="1420"/>
          </w:tcPr>
          <w:p>
            <w:pPr>
              <w:spacing w:after="20" w:line="240" w:lineRule="auto"/>
            </w:pPr>
            <w:r/>
            <w:r>
              <w:rPr>
                <w:rFonts w:ascii="Times New Roman" w:hAnsi="Times New Roman" w:eastAsia="Times New Roman" w:cs="Times New Roman"/>
                <w:color w:val="000000"/>
                <w:sz w:val="18"/>
              </w:rPr>
              <w:t>Wind</w:t>
            </w:r>
          </w:p>
        </w:tc>
        <w:tc>
          <w:tcPr>
            <w:tcW w:type="dxa" w:w="1291"/>
          </w:tcPr>
          <w:p>
            <w:pPr>
              <w:spacing w:after="20" w:line="240" w:lineRule="auto"/>
            </w:pPr>
            <w:r/>
            <w:r>
              <w:rPr>
                <w:rFonts w:ascii="Times New Roman" w:hAnsi="Times New Roman" w:eastAsia="Times New Roman" w:cs="Times New Roman"/>
                <w:color w:val="000000"/>
                <w:sz w:val="18"/>
              </w:rPr>
              <w:t>Northeast</w:t>
            </w:r>
          </w:p>
        </w:tc>
        <w:tc>
          <w:tcPr>
            <w:tcW w:type="dxa" w:w="1033"/>
          </w:tcPr>
          <w:p>
            <w:pPr>
              <w:spacing w:after="20" w:line="240" w:lineRule="auto"/>
            </w:pPr>
            <w:r/>
            <w:r>
              <w:rPr>
                <w:rFonts w:ascii="Times New Roman" w:hAnsi="Times New Roman" w:eastAsia="Times New Roman" w:cs="Times New Roman"/>
                <w:color w:val="000000"/>
                <w:sz w:val="18"/>
              </w:rPr>
              <w:t>141.2</w:t>
            </w:r>
          </w:p>
        </w:tc>
        <w:tc>
          <w:tcPr>
            <w:tcW w:type="dxa" w:w="1033"/>
          </w:tcPr>
          <w:p>
            <w:pPr>
              <w:spacing w:after="20" w:line="240" w:lineRule="auto"/>
            </w:pPr>
            <w:r/>
            <w:r>
              <w:rPr>
                <w:rFonts w:ascii="Times New Roman" w:hAnsi="Times New Roman" w:eastAsia="Times New Roman" w:cs="Times New Roman"/>
                <w:color w:val="000000"/>
                <w:sz w:val="18"/>
              </w:rPr>
              <w:t>168.8</w:t>
            </w:r>
          </w:p>
        </w:tc>
        <w:tc>
          <w:tcPr>
            <w:tcW w:type="dxa" w:w="1033"/>
          </w:tcPr>
          <w:p>
            <w:pPr>
              <w:spacing w:after="20" w:line="240" w:lineRule="auto"/>
            </w:pPr>
            <w:r/>
            <w:r>
              <w:rPr>
                <w:rFonts w:ascii="Times New Roman" w:hAnsi="Times New Roman" w:eastAsia="Times New Roman" w:cs="Times New Roman"/>
                <w:color w:val="000000"/>
                <w:sz w:val="18"/>
              </w:rPr>
              <w:t>13.57</w:t>
            </w:r>
          </w:p>
        </w:tc>
        <w:tc>
          <w:tcPr>
            <w:tcW w:type="dxa" w:w="1162"/>
          </w:tcPr>
          <w:p>
            <w:pPr>
              <w:spacing w:after="20" w:line="240" w:lineRule="auto"/>
            </w:pPr>
            <w:r/>
            <w:r>
              <w:rPr>
                <w:rFonts w:ascii="Times New Roman" w:hAnsi="Times New Roman" w:eastAsia="Times New Roman" w:cs="Times New Roman"/>
                <w:color w:val="000000"/>
                <w:sz w:val="18"/>
              </w:rPr>
              <w:t>134.4</w:t>
            </w:r>
          </w:p>
        </w:tc>
        <w:tc>
          <w:tcPr>
            <w:tcW w:type="dxa" w:w="1162"/>
          </w:tcPr>
          <w:p>
            <w:pPr>
              <w:spacing w:after="20" w:line="240" w:lineRule="auto"/>
            </w:pPr>
            <w:r/>
            <w:r>
              <w:rPr>
                <w:rFonts w:ascii="Times New Roman" w:hAnsi="Times New Roman" w:eastAsia="Times New Roman" w:cs="Times New Roman"/>
                <w:color w:val="000000"/>
                <w:sz w:val="18"/>
              </w:rPr>
              <w:t>157.2</w:t>
            </w:r>
          </w:p>
        </w:tc>
        <w:tc>
          <w:tcPr>
            <w:tcW w:type="dxa" w:w="1162"/>
          </w:tcPr>
          <w:p>
            <w:pPr>
              <w:spacing w:after="20" w:line="240" w:lineRule="auto"/>
            </w:pPr>
            <w:r/>
            <w:r>
              <w:rPr>
                <w:rFonts w:ascii="Times New Roman" w:hAnsi="Times New Roman" w:eastAsia="Times New Roman" w:cs="Times New Roman"/>
                <w:color w:val="000000"/>
                <w:sz w:val="18"/>
              </w:rPr>
              <w:t>11.02</w:t>
            </w:r>
          </w:p>
        </w:tc>
      </w:tr>
      <w:tr>
        <w:tc>
          <w:tcPr>
            <w:tcW w:type="dxa" w:w="1420"/>
          </w:tcPr>
          <w:p>
            <w:pPr>
              <w:spacing w:after="20" w:line="240" w:lineRule="auto"/>
            </w:pPr>
            <w:r/>
            <w:r>
              <w:rPr>
                <w:rFonts w:ascii="Times New Roman" w:hAnsi="Times New Roman" w:eastAsia="Times New Roman" w:cs="Times New Roman"/>
                <w:color w:val="000000"/>
                <w:sz w:val="18"/>
              </w:rPr>
              <w:t>Wind</w:t>
            </w:r>
          </w:p>
        </w:tc>
        <w:tc>
          <w:tcPr>
            <w:tcW w:type="dxa" w:w="1291"/>
          </w:tcPr>
          <w:p>
            <w:pPr>
              <w:spacing w:after="20" w:line="240" w:lineRule="auto"/>
            </w:pPr>
            <w:r/>
            <w:r>
              <w:rPr>
                <w:rFonts w:ascii="Times New Roman" w:hAnsi="Times New Roman" w:eastAsia="Times New Roman" w:cs="Times New Roman"/>
                <w:color w:val="000000"/>
                <w:sz w:val="18"/>
              </w:rPr>
              <w:t>Midwest</w:t>
            </w:r>
          </w:p>
        </w:tc>
        <w:tc>
          <w:tcPr>
            <w:tcW w:type="dxa" w:w="1033"/>
          </w:tcPr>
          <w:p>
            <w:pPr>
              <w:spacing w:after="20" w:line="240" w:lineRule="auto"/>
            </w:pPr>
            <w:r/>
            <w:r>
              <w:rPr>
                <w:rFonts w:ascii="Times New Roman" w:hAnsi="Times New Roman" w:eastAsia="Times New Roman" w:cs="Times New Roman"/>
                <w:color w:val="000000"/>
                <w:sz w:val="18"/>
              </w:rPr>
              <w:t>2,589.4</w:t>
            </w:r>
          </w:p>
        </w:tc>
        <w:tc>
          <w:tcPr>
            <w:tcW w:type="dxa" w:w="1033"/>
          </w:tcPr>
          <w:p>
            <w:pPr>
              <w:spacing w:after="20" w:line="240" w:lineRule="auto"/>
            </w:pPr>
            <w:r/>
            <w:r>
              <w:rPr>
                <w:rFonts w:ascii="Times New Roman" w:hAnsi="Times New Roman" w:eastAsia="Times New Roman" w:cs="Times New Roman"/>
                <w:color w:val="000000"/>
                <w:sz w:val="18"/>
              </w:rPr>
              <w:t>3,035.7</w:t>
            </w:r>
          </w:p>
        </w:tc>
        <w:tc>
          <w:tcPr>
            <w:tcW w:type="dxa" w:w="1033"/>
          </w:tcPr>
          <w:p>
            <w:pPr>
              <w:spacing w:after="20" w:line="240" w:lineRule="auto"/>
            </w:pPr>
            <w:r/>
            <w:r>
              <w:rPr>
                <w:rFonts w:ascii="Times New Roman" w:hAnsi="Times New Roman" w:eastAsia="Times New Roman" w:cs="Times New Roman"/>
                <w:color w:val="000000"/>
                <w:sz w:val="18"/>
              </w:rPr>
              <w:t>17.65</w:t>
            </w:r>
          </w:p>
        </w:tc>
        <w:tc>
          <w:tcPr>
            <w:tcW w:type="dxa" w:w="1162"/>
          </w:tcPr>
          <w:p>
            <w:pPr>
              <w:spacing w:after="20" w:line="240" w:lineRule="auto"/>
            </w:pPr>
            <w:r/>
            <w:r>
              <w:rPr>
                <w:rFonts w:ascii="Times New Roman" w:hAnsi="Times New Roman" w:eastAsia="Times New Roman" w:cs="Times New Roman"/>
                <w:color w:val="000000"/>
                <w:sz w:val="18"/>
              </w:rPr>
              <w:t>1,196.8</w:t>
            </w:r>
          </w:p>
        </w:tc>
        <w:tc>
          <w:tcPr>
            <w:tcW w:type="dxa" w:w="1162"/>
          </w:tcPr>
          <w:p>
            <w:pPr>
              <w:spacing w:after="20" w:line="240" w:lineRule="auto"/>
            </w:pPr>
            <w:r/>
            <w:r>
              <w:rPr>
                <w:rFonts w:ascii="Times New Roman" w:hAnsi="Times New Roman" w:eastAsia="Times New Roman" w:cs="Times New Roman"/>
                <w:color w:val="000000"/>
                <w:sz w:val="18"/>
              </w:rPr>
              <w:t>1,710.4</w:t>
            </w:r>
          </w:p>
        </w:tc>
        <w:tc>
          <w:tcPr>
            <w:tcW w:type="dxa" w:w="1162"/>
          </w:tcPr>
          <w:p>
            <w:pPr>
              <w:spacing w:after="20" w:line="240" w:lineRule="auto"/>
            </w:pPr>
            <w:r/>
            <w:r>
              <w:rPr>
                <w:rFonts w:ascii="Times New Roman" w:hAnsi="Times New Roman" w:eastAsia="Times New Roman" w:cs="Times New Roman"/>
                <w:color w:val="000000"/>
                <w:sz w:val="18"/>
              </w:rPr>
              <w:t>7.72</w:t>
            </w:r>
          </w:p>
        </w:tc>
      </w:tr>
      <w:tr>
        <w:tc>
          <w:tcPr>
            <w:tcW w:type="dxa" w:w="1420"/>
          </w:tcPr>
          <w:p>
            <w:pPr>
              <w:spacing w:after="20" w:line="240" w:lineRule="auto"/>
            </w:pPr>
            <w:r/>
            <w:r>
              <w:rPr>
                <w:rFonts w:ascii="Times New Roman" w:hAnsi="Times New Roman" w:eastAsia="Times New Roman" w:cs="Times New Roman"/>
                <w:color w:val="000000"/>
                <w:sz w:val="18"/>
              </w:rPr>
              <w:t>Wind</w:t>
            </w:r>
          </w:p>
        </w:tc>
        <w:tc>
          <w:tcPr>
            <w:tcW w:type="dxa" w:w="1291"/>
          </w:tcPr>
          <w:p>
            <w:pPr>
              <w:spacing w:after="20" w:line="240" w:lineRule="auto"/>
            </w:pPr>
            <w:r/>
            <w:r>
              <w:rPr>
                <w:rFonts w:ascii="Times New Roman" w:hAnsi="Times New Roman" w:eastAsia="Times New Roman" w:cs="Times New Roman"/>
                <w:color w:val="000000"/>
                <w:sz w:val="18"/>
              </w:rPr>
              <w:t>West</w:t>
            </w:r>
          </w:p>
        </w:tc>
        <w:tc>
          <w:tcPr>
            <w:tcW w:type="dxa" w:w="1033"/>
          </w:tcPr>
          <w:p>
            <w:pPr>
              <w:spacing w:after="20" w:line="240" w:lineRule="auto"/>
            </w:pPr>
            <w:r/>
            <w:r>
              <w:rPr>
                <w:rFonts w:ascii="Times New Roman" w:hAnsi="Times New Roman" w:eastAsia="Times New Roman" w:cs="Times New Roman"/>
                <w:color w:val="000000"/>
                <w:sz w:val="18"/>
              </w:rPr>
              <w:t>711.6</w:t>
            </w:r>
          </w:p>
        </w:tc>
        <w:tc>
          <w:tcPr>
            <w:tcW w:type="dxa" w:w="1033"/>
          </w:tcPr>
          <w:p>
            <w:pPr>
              <w:spacing w:after="20" w:line="240" w:lineRule="auto"/>
            </w:pPr>
            <w:r/>
            <w:r>
              <w:rPr>
                <w:rFonts w:ascii="Times New Roman" w:hAnsi="Times New Roman" w:eastAsia="Times New Roman" w:cs="Times New Roman"/>
                <w:color w:val="000000"/>
                <w:sz w:val="18"/>
              </w:rPr>
              <w:t>830.2</w:t>
            </w:r>
          </w:p>
        </w:tc>
        <w:tc>
          <w:tcPr>
            <w:tcW w:type="dxa" w:w="1033"/>
          </w:tcPr>
          <w:p>
            <w:pPr>
              <w:spacing w:after="20" w:line="240" w:lineRule="auto"/>
            </w:pPr>
            <w:r/>
            <w:r>
              <w:rPr>
                <w:rFonts w:ascii="Times New Roman" w:hAnsi="Times New Roman" w:eastAsia="Times New Roman" w:cs="Times New Roman"/>
                <w:color w:val="000000"/>
                <w:sz w:val="18"/>
              </w:rPr>
              <w:t>9.28</w:t>
            </w:r>
          </w:p>
        </w:tc>
        <w:tc>
          <w:tcPr>
            <w:tcW w:type="dxa" w:w="1162"/>
          </w:tcPr>
          <w:p>
            <w:pPr>
              <w:spacing w:after="20" w:line="240" w:lineRule="auto"/>
            </w:pPr>
            <w:r/>
            <w:r>
              <w:rPr>
                <w:rFonts w:ascii="Times New Roman" w:hAnsi="Times New Roman" w:eastAsia="Times New Roman" w:cs="Times New Roman"/>
                <w:color w:val="000000"/>
                <w:sz w:val="18"/>
              </w:rPr>
              <w:t>1,180.6</w:t>
            </w:r>
          </w:p>
        </w:tc>
        <w:tc>
          <w:tcPr>
            <w:tcW w:type="dxa" w:w="1162"/>
          </w:tcPr>
          <w:p>
            <w:pPr>
              <w:spacing w:after="20" w:line="240" w:lineRule="auto"/>
            </w:pPr>
            <w:r/>
            <w:r>
              <w:rPr>
                <w:rFonts w:ascii="Times New Roman" w:hAnsi="Times New Roman" w:eastAsia="Times New Roman" w:cs="Times New Roman"/>
                <w:color w:val="000000"/>
                <w:sz w:val="18"/>
              </w:rPr>
              <w:t>1,401.5</w:t>
            </w:r>
          </w:p>
        </w:tc>
        <w:tc>
          <w:tcPr>
            <w:tcW w:type="dxa" w:w="1162"/>
          </w:tcPr>
          <w:p>
            <w:pPr>
              <w:spacing w:after="20" w:line="240" w:lineRule="auto"/>
            </w:pPr>
            <w:r/>
            <w:r>
              <w:rPr>
                <w:rFonts w:ascii="Times New Roman" w:hAnsi="Times New Roman" w:eastAsia="Times New Roman" w:cs="Times New Roman"/>
                <w:color w:val="000000"/>
                <w:sz w:val="18"/>
              </w:rPr>
              <w:t>14.68</w:t>
            </w:r>
          </w:p>
        </w:tc>
      </w:tr>
      <w:tr>
        <w:tc>
          <w:tcPr>
            <w:tcW w:type="dxa" w:w="1420"/>
          </w:tcPr>
          <w:p>
            <w:pPr>
              <w:spacing w:after="20" w:line="240" w:lineRule="auto"/>
            </w:pPr>
            <w:r/>
            <w:r>
              <w:rPr>
                <w:rFonts w:ascii="Times New Roman" w:hAnsi="Times New Roman" w:eastAsia="Times New Roman" w:cs="Times New Roman"/>
                <w:color w:val="000000"/>
                <w:sz w:val="18"/>
              </w:rPr>
              <w:t>Solar</w:t>
            </w:r>
          </w:p>
        </w:tc>
        <w:tc>
          <w:tcPr>
            <w:tcW w:type="dxa" w:w="1291"/>
          </w:tcPr>
          <w:p>
            <w:pPr>
              <w:spacing w:after="20" w:line="240" w:lineRule="auto"/>
            </w:pPr>
            <w:r/>
            <w:r>
              <w:rPr>
                <w:rFonts w:ascii="Times New Roman" w:hAnsi="Times New Roman" w:eastAsia="Times New Roman" w:cs="Times New Roman"/>
                <w:color w:val="000000"/>
                <w:sz w:val="18"/>
              </w:rPr>
              <w:t>South</w:t>
            </w:r>
          </w:p>
        </w:tc>
        <w:tc>
          <w:tcPr>
            <w:tcW w:type="dxa" w:w="1033"/>
          </w:tcPr>
          <w:p>
            <w:pPr>
              <w:spacing w:after="20" w:line="240" w:lineRule="auto"/>
            </w:pPr>
            <w:r/>
            <w:r>
              <w:rPr>
                <w:rFonts w:ascii="Times New Roman" w:hAnsi="Times New Roman" w:eastAsia="Times New Roman" w:cs="Times New Roman"/>
                <w:color w:val="000000"/>
                <w:sz w:val="18"/>
              </w:rPr>
              <w:t>2,190.4</w:t>
            </w:r>
          </w:p>
        </w:tc>
        <w:tc>
          <w:tcPr>
            <w:tcW w:type="dxa" w:w="1033"/>
          </w:tcPr>
          <w:p>
            <w:pPr>
              <w:spacing w:after="20" w:line="240" w:lineRule="auto"/>
            </w:pPr>
            <w:r/>
            <w:r>
              <w:rPr>
                <w:rFonts w:ascii="Times New Roman" w:hAnsi="Times New Roman" w:eastAsia="Times New Roman" w:cs="Times New Roman"/>
                <w:color w:val="000000"/>
                <w:sz w:val="18"/>
              </w:rPr>
              <w:t>2,929.2</w:t>
            </w:r>
          </w:p>
        </w:tc>
        <w:tc>
          <w:tcPr>
            <w:tcW w:type="dxa" w:w="1033"/>
          </w:tcPr>
          <w:p>
            <w:pPr>
              <w:spacing w:after="20" w:line="240" w:lineRule="auto"/>
            </w:pPr>
            <w:r/>
            <w:r>
              <w:rPr>
                <w:rFonts w:ascii="Times New Roman" w:hAnsi="Times New Roman" w:eastAsia="Times New Roman" w:cs="Times New Roman"/>
                <w:color w:val="000000"/>
                <w:sz w:val="18"/>
              </w:rPr>
              <w:t>17.12</w:t>
            </w:r>
          </w:p>
        </w:tc>
        <w:tc>
          <w:tcPr>
            <w:tcW w:type="dxa" w:w="1162"/>
          </w:tcPr>
          <w:p>
            <w:pPr>
              <w:spacing w:after="20" w:line="240" w:lineRule="auto"/>
            </w:pPr>
            <w:r/>
            <w:r>
              <w:rPr>
                <w:rFonts w:ascii="Times New Roman" w:hAnsi="Times New Roman" w:eastAsia="Times New Roman" w:cs="Times New Roman"/>
                <w:color w:val="000000"/>
                <w:sz w:val="18"/>
              </w:rPr>
              <w:t>4,336.6</w:t>
            </w:r>
          </w:p>
        </w:tc>
        <w:tc>
          <w:tcPr>
            <w:tcW w:type="dxa" w:w="1162"/>
          </w:tcPr>
          <w:p>
            <w:pPr>
              <w:spacing w:after="20" w:line="240" w:lineRule="auto"/>
            </w:pPr>
            <w:r/>
            <w:r>
              <w:rPr>
                <w:rFonts w:ascii="Times New Roman" w:hAnsi="Times New Roman" w:eastAsia="Times New Roman" w:cs="Times New Roman"/>
                <w:color w:val="000000"/>
                <w:sz w:val="18"/>
              </w:rPr>
              <w:t>4,724.0</w:t>
            </w:r>
          </w:p>
        </w:tc>
        <w:tc>
          <w:tcPr>
            <w:tcW w:type="dxa" w:w="1162"/>
          </w:tcPr>
          <w:p>
            <w:pPr>
              <w:spacing w:after="20" w:line="240" w:lineRule="auto"/>
            </w:pPr>
            <w:r/>
            <w:r>
              <w:rPr>
                <w:rFonts w:ascii="Times New Roman" w:hAnsi="Times New Roman" w:eastAsia="Times New Roman" w:cs="Times New Roman"/>
                <w:color w:val="000000"/>
                <w:sz w:val="18"/>
              </w:rPr>
              <w:t>36.34</w:t>
            </w:r>
          </w:p>
        </w:tc>
      </w:tr>
      <w:tr>
        <w:tc>
          <w:tcPr>
            <w:tcW w:type="dxa" w:w="1420"/>
          </w:tcPr>
          <w:p>
            <w:pPr>
              <w:spacing w:after="20" w:line="240" w:lineRule="auto"/>
            </w:pPr>
            <w:r/>
            <w:r>
              <w:rPr>
                <w:rFonts w:ascii="Times New Roman" w:hAnsi="Times New Roman" w:eastAsia="Times New Roman" w:cs="Times New Roman"/>
                <w:color w:val="000000"/>
                <w:sz w:val="18"/>
              </w:rPr>
              <w:t>Solar</w:t>
            </w:r>
          </w:p>
        </w:tc>
        <w:tc>
          <w:tcPr>
            <w:tcW w:type="dxa" w:w="1291"/>
          </w:tcPr>
          <w:p>
            <w:pPr>
              <w:spacing w:after="20" w:line="240" w:lineRule="auto"/>
            </w:pPr>
            <w:r/>
            <w:r>
              <w:rPr>
                <w:rFonts w:ascii="Times New Roman" w:hAnsi="Times New Roman" w:eastAsia="Times New Roman" w:cs="Times New Roman"/>
                <w:color w:val="000000"/>
                <w:sz w:val="18"/>
              </w:rPr>
              <w:t>Northeast</w:t>
            </w:r>
          </w:p>
        </w:tc>
        <w:tc>
          <w:tcPr>
            <w:tcW w:type="dxa" w:w="1033"/>
          </w:tcPr>
          <w:p>
            <w:pPr>
              <w:spacing w:after="20" w:line="240" w:lineRule="auto"/>
            </w:pPr>
            <w:r/>
            <w:r>
              <w:rPr>
                <w:rFonts w:ascii="Times New Roman" w:hAnsi="Times New Roman" w:eastAsia="Times New Roman" w:cs="Times New Roman"/>
                <w:color w:val="000000"/>
                <w:sz w:val="18"/>
              </w:rPr>
              <w:t>182.3</w:t>
            </w:r>
          </w:p>
        </w:tc>
        <w:tc>
          <w:tcPr>
            <w:tcW w:type="dxa" w:w="1033"/>
          </w:tcPr>
          <w:p>
            <w:pPr>
              <w:spacing w:after="20" w:line="240" w:lineRule="auto"/>
            </w:pPr>
            <w:r/>
            <w:r>
              <w:rPr>
                <w:rFonts w:ascii="Times New Roman" w:hAnsi="Times New Roman" w:eastAsia="Times New Roman" w:cs="Times New Roman"/>
                <w:color w:val="000000"/>
                <w:sz w:val="18"/>
              </w:rPr>
              <w:t>228.8</w:t>
            </w:r>
          </w:p>
        </w:tc>
        <w:tc>
          <w:tcPr>
            <w:tcW w:type="dxa" w:w="1033"/>
          </w:tcPr>
          <w:p>
            <w:pPr>
              <w:spacing w:after="20" w:line="240" w:lineRule="auto"/>
            </w:pPr>
            <w:r/>
            <w:r>
              <w:rPr>
                <w:rFonts w:ascii="Times New Roman" w:hAnsi="Times New Roman" w:eastAsia="Times New Roman" w:cs="Times New Roman"/>
                <w:color w:val="000000"/>
                <w:sz w:val="18"/>
              </w:rPr>
              <w:t>12.31</w:t>
            </w:r>
          </w:p>
        </w:tc>
        <w:tc>
          <w:tcPr>
            <w:tcW w:type="dxa" w:w="1162"/>
          </w:tcPr>
          <w:p>
            <w:pPr>
              <w:spacing w:after="20" w:line="240" w:lineRule="auto"/>
            </w:pPr>
            <w:r/>
            <w:r>
              <w:rPr>
                <w:rFonts w:ascii="Times New Roman" w:hAnsi="Times New Roman" w:eastAsia="Times New Roman" w:cs="Times New Roman"/>
                <w:color w:val="000000"/>
                <w:sz w:val="18"/>
              </w:rPr>
              <w:t>253.0</w:t>
            </w:r>
          </w:p>
        </w:tc>
        <w:tc>
          <w:tcPr>
            <w:tcW w:type="dxa" w:w="1162"/>
          </w:tcPr>
          <w:p>
            <w:pPr>
              <w:spacing w:after="20" w:line="240" w:lineRule="auto"/>
            </w:pPr>
            <w:r/>
            <w:r>
              <w:rPr>
                <w:rFonts w:ascii="Times New Roman" w:hAnsi="Times New Roman" w:eastAsia="Times New Roman" w:cs="Times New Roman"/>
                <w:color w:val="000000"/>
                <w:sz w:val="18"/>
              </w:rPr>
              <w:t>287.4</w:t>
            </w:r>
          </w:p>
        </w:tc>
        <w:tc>
          <w:tcPr>
            <w:tcW w:type="dxa" w:w="1162"/>
          </w:tcPr>
          <w:p>
            <w:pPr>
              <w:spacing w:after="20" w:line="240" w:lineRule="auto"/>
            </w:pPr>
            <w:r/>
            <w:r>
              <w:rPr>
                <w:rFonts w:ascii="Times New Roman" w:hAnsi="Times New Roman" w:eastAsia="Times New Roman" w:cs="Times New Roman"/>
                <w:color w:val="000000"/>
                <w:sz w:val="18"/>
              </w:rPr>
              <w:t>20.12</w:t>
            </w:r>
          </w:p>
        </w:tc>
      </w:tr>
      <w:tr>
        <w:tc>
          <w:tcPr>
            <w:tcW w:type="dxa" w:w="1420"/>
          </w:tcPr>
          <w:p>
            <w:pPr>
              <w:spacing w:after="20" w:line="240" w:lineRule="auto"/>
            </w:pPr>
            <w:r/>
            <w:r>
              <w:rPr>
                <w:rFonts w:ascii="Times New Roman" w:hAnsi="Times New Roman" w:eastAsia="Times New Roman" w:cs="Times New Roman"/>
                <w:color w:val="000000"/>
                <w:sz w:val="18"/>
              </w:rPr>
              <w:t>Solar</w:t>
            </w:r>
          </w:p>
        </w:tc>
        <w:tc>
          <w:tcPr>
            <w:tcW w:type="dxa" w:w="1291"/>
          </w:tcPr>
          <w:p>
            <w:pPr>
              <w:spacing w:after="20" w:line="240" w:lineRule="auto"/>
            </w:pPr>
            <w:r/>
            <w:r>
              <w:rPr>
                <w:rFonts w:ascii="Times New Roman" w:hAnsi="Times New Roman" w:eastAsia="Times New Roman" w:cs="Times New Roman"/>
                <w:color w:val="000000"/>
                <w:sz w:val="18"/>
              </w:rPr>
              <w:t>Midwest</w:t>
            </w:r>
          </w:p>
        </w:tc>
        <w:tc>
          <w:tcPr>
            <w:tcW w:type="dxa" w:w="1033"/>
          </w:tcPr>
          <w:p>
            <w:pPr>
              <w:spacing w:after="20" w:line="240" w:lineRule="auto"/>
            </w:pPr>
            <w:r/>
            <w:r>
              <w:rPr>
                <w:rFonts w:ascii="Times New Roman" w:hAnsi="Times New Roman" w:eastAsia="Times New Roman" w:cs="Times New Roman"/>
                <w:color w:val="000000"/>
                <w:sz w:val="18"/>
              </w:rPr>
              <w:t>292.5</w:t>
            </w:r>
          </w:p>
        </w:tc>
        <w:tc>
          <w:tcPr>
            <w:tcW w:type="dxa" w:w="1033"/>
          </w:tcPr>
          <w:p>
            <w:pPr>
              <w:spacing w:after="20" w:line="240" w:lineRule="auto"/>
            </w:pPr>
            <w:r/>
            <w:r>
              <w:rPr>
                <w:rFonts w:ascii="Times New Roman" w:hAnsi="Times New Roman" w:eastAsia="Times New Roman" w:cs="Times New Roman"/>
                <w:color w:val="000000"/>
                <w:sz w:val="18"/>
              </w:rPr>
              <w:t>363.5</w:t>
            </w:r>
          </w:p>
        </w:tc>
        <w:tc>
          <w:tcPr>
            <w:tcW w:type="dxa" w:w="1033"/>
          </w:tcPr>
          <w:p>
            <w:pPr>
              <w:spacing w:after="20" w:line="240" w:lineRule="auto"/>
            </w:pPr>
            <w:r/>
            <w:r>
              <w:rPr>
                <w:rFonts w:ascii="Times New Roman" w:hAnsi="Times New Roman" w:eastAsia="Times New Roman" w:cs="Times New Roman"/>
                <w:color w:val="000000"/>
                <w:sz w:val="18"/>
              </w:rPr>
              <w:t>11.23</w:t>
            </w:r>
          </w:p>
        </w:tc>
        <w:tc>
          <w:tcPr>
            <w:tcW w:type="dxa" w:w="1162"/>
          </w:tcPr>
          <w:p>
            <w:pPr>
              <w:spacing w:after="20" w:line="240" w:lineRule="auto"/>
            </w:pPr>
            <w:r/>
            <w:r>
              <w:rPr>
                <w:rFonts w:ascii="Times New Roman" w:hAnsi="Times New Roman" w:eastAsia="Times New Roman" w:cs="Times New Roman"/>
                <w:color w:val="000000"/>
                <w:sz w:val="18"/>
              </w:rPr>
              <w:t>1,819.0</w:t>
            </w:r>
          </w:p>
        </w:tc>
        <w:tc>
          <w:tcPr>
            <w:tcW w:type="dxa" w:w="1162"/>
          </w:tcPr>
          <w:p>
            <w:pPr>
              <w:spacing w:after="20" w:line="240" w:lineRule="auto"/>
            </w:pPr>
            <w:r/>
            <w:r>
              <w:rPr>
                <w:rFonts w:ascii="Times New Roman" w:hAnsi="Times New Roman" w:eastAsia="Times New Roman" w:cs="Times New Roman"/>
                <w:color w:val="000000"/>
                <w:sz w:val="18"/>
              </w:rPr>
              <w:t>2,079.5</w:t>
            </w:r>
          </w:p>
        </w:tc>
        <w:tc>
          <w:tcPr>
            <w:tcW w:type="dxa" w:w="1162"/>
          </w:tcPr>
          <w:p>
            <w:pPr>
              <w:spacing w:after="20" w:line="240" w:lineRule="auto"/>
            </w:pPr>
            <w:r/>
            <w:r>
              <w:rPr>
                <w:rFonts w:ascii="Times New Roman" w:hAnsi="Times New Roman" w:eastAsia="Times New Roman" w:cs="Times New Roman"/>
                <w:color w:val="000000"/>
                <w:sz w:val="18"/>
              </w:rPr>
              <w:t>57.61</w:t>
            </w:r>
          </w:p>
        </w:tc>
      </w:tr>
      <w:tr>
        <w:tc>
          <w:tcPr>
            <w:tcW w:type="dxa" w:w="1420"/>
          </w:tcPr>
          <w:p>
            <w:pPr>
              <w:spacing w:after="20" w:line="240" w:lineRule="auto"/>
            </w:pPr>
            <w:r/>
            <w:r>
              <w:rPr>
                <w:rFonts w:ascii="Times New Roman" w:hAnsi="Times New Roman" w:eastAsia="Times New Roman" w:cs="Times New Roman"/>
                <w:color w:val="000000"/>
                <w:sz w:val="18"/>
              </w:rPr>
              <w:t>Solar</w:t>
            </w:r>
          </w:p>
        </w:tc>
        <w:tc>
          <w:tcPr>
            <w:tcW w:type="dxa" w:w="1291"/>
          </w:tcPr>
          <w:p>
            <w:pPr>
              <w:spacing w:after="20" w:line="240" w:lineRule="auto"/>
            </w:pPr>
            <w:r/>
            <w:r>
              <w:rPr>
                <w:rFonts w:ascii="Times New Roman" w:hAnsi="Times New Roman" w:eastAsia="Times New Roman" w:cs="Times New Roman"/>
                <w:color w:val="000000"/>
                <w:sz w:val="18"/>
              </w:rPr>
              <w:t>West</w:t>
            </w:r>
          </w:p>
        </w:tc>
        <w:tc>
          <w:tcPr>
            <w:tcW w:type="dxa" w:w="1033"/>
          </w:tcPr>
          <w:p>
            <w:pPr>
              <w:spacing w:after="20" w:line="240" w:lineRule="auto"/>
            </w:pPr>
            <w:r/>
            <w:r>
              <w:rPr>
                <w:rFonts w:ascii="Times New Roman" w:hAnsi="Times New Roman" w:eastAsia="Times New Roman" w:cs="Times New Roman"/>
                <w:color w:val="000000"/>
                <w:sz w:val="18"/>
              </w:rPr>
              <w:t>606.1</w:t>
            </w:r>
          </w:p>
        </w:tc>
        <w:tc>
          <w:tcPr>
            <w:tcW w:type="dxa" w:w="1033"/>
          </w:tcPr>
          <w:p>
            <w:pPr>
              <w:spacing w:after="20" w:line="240" w:lineRule="auto"/>
            </w:pPr>
            <w:r/>
            <w:r>
              <w:rPr>
                <w:rFonts w:ascii="Times New Roman" w:hAnsi="Times New Roman" w:eastAsia="Times New Roman" w:cs="Times New Roman"/>
                <w:color w:val="000000"/>
                <w:sz w:val="18"/>
              </w:rPr>
              <w:t>848.3</w:t>
            </w:r>
          </w:p>
        </w:tc>
        <w:tc>
          <w:tcPr>
            <w:tcW w:type="dxa" w:w="1033"/>
          </w:tcPr>
          <w:p>
            <w:pPr>
              <w:spacing w:after="20" w:line="240" w:lineRule="auto"/>
            </w:pPr>
            <w:r/>
            <w:r>
              <w:rPr>
                <w:rFonts w:ascii="Times New Roman" w:hAnsi="Times New Roman" w:eastAsia="Times New Roman" w:cs="Times New Roman"/>
                <w:color w:val="000000"/>
                <w:sz w:val="18"/>
              </w:rPr>
              <w:t>6.39</w:t>
            </w:r>
          </w:p>
        </w:tc>
        <w:tc>
          <w:tcPr>
            <w:tcW w:type="dxa" w:w="1162"/>
          </w:tcPr>
          <w:p>
            <w:pPr>
              <w:spacing w:after="20" w:line="240" w:lineRule="auto"/>
            </w:pPr>
            <w:r/>
            <w:r>
              <w:rPr>
                <w:rFonts w:ascii="Times New Roman" w:hAnsi="Times New Roman" w:eastAsia="Times New Roman" w:cs="Times New Roman"/>
                <w:color w:val="000000"/>
                <w:sz w:val="18"/>
              </w:rPr>
              <w:t>2,191.7</w:t>
            </w:r>
          </w:p>
        </w:tc>
        <w:tc>
          <w:tcPr>
            <w:tcW w:type="dxa" w:w="1162"/>
          </w:tcPr>
          <w:p>
            <w:pPr>
              <w:spacing w:after="20" w:line="240" w:lineRule="auto"/>
            </w:pPr>
            <w:r/>
            <w:r>
              <w:rPr>
                <w:rFonts w:ascii="Times New Roman" w:hAnsi="Times New Roman" w:eastAsia="Times New Roman" w:cs="Times New Roman"/>
                <w:color w:val="000000"/>
                <w:sz w:val="18"/>
              </w:rPr>
              <w:t>2,349.8</w:t>
            </w:r>
          </w:p>
        </w:tc>
        <w:tc>
          <w:tcPr>
            <w:tcW w:type="dxa" w:w="1162"/>
          </w:tcPr>
          <w:p>
            <w:pPr>
              <w:spacing w:after="20" w:line="240" w:lineRule="auto"/>
            </w:pPr>
            <w:r/>
            <w:r>
              <w:rPr>
                <w:rFonts w:ascii="Times New Roman" w:hAnsi="Times New Roman" w:eastAsia="Times New Roman" w:cs="Times New Roman"/>
                <w:color w:val="000000"/>
                <w:sz w:val="18"/>
              </w:rPr>
              <w:t>24.26</w:t>
            </w:r>
          </w:p>
        </w:tc>
      </w:tr>
      <w:tr>
        <w:tc>
          <w:tcPr>
            <w:tcW w:type="dxa" w:w="1420"/>
          </w:tcPr>
          <w:p>
            <w:pPr>
              <w:spacing w:after="20" w:line="240" w:lineRule="auto"/>
            </w:pPr>
            <w:r/>
            <w:r>
              <w:rPr>
                <w:rFonts w:ascii="Times New Roman" w:hAnsi="Times New Roman" w:eastAsia="Times New Roman" w:cs="Times New Roman"/>
                <w:color w:val="000000"/>
                <w:sz w:val="18"/>
              </w:rPr>
              <w:t>Biomass</w:t>
            </w:r>
          </w:p>
        </w:tc>
        <w:tc>
          <w:tcPr>
            <w:tcW w:type="dxa" w:w="1291"/>
          </w:tcPr>
          <w:p>
            <w:pPr>
              <w:spacing w:after="20" w:line="240" w:lineRule="auto"/>
            </w:pPr>
            <w:r/>
            <w:r>
              <w:rPr>
                <w:rFonts w:ascii="Times New Roman" w:hAnsi="Times New Roman" w:eastAsia="Times New Roman" w:cs="Times New Roman"/>
                <w:color w:val="000000"/>
                <w:sz w:val="18"/>
              </w:rPr>
              <w:t>South</w:t>
            </w:r>
          </w:p>
        </w:tc>
        <w:tc>
          <w:tcPr>
            <w:tcW w:type="dxa" w:w="1033"/>
          </w:tcPr>
          <w:p>
            <w:pPr>
              <w:spacing w:after="20" w:line="240" w:lineRule="auto"/>
            </w:pPr>
            <w:r/>
            <w:r>
              <w:rPr>
                <w:rFonts w:ascii="Times New Roman" w:hAnsi="Times New Roman" w:eastAsia="Times New Roman" w:cs="Times New Roman"/>
                <w:color w:val="000000"/>
                <w:sz w:val="18"/>
              </w:rPr>
              <w:t>77.4</w:t>
            </w:r>
          </w:p>
        </w:tc>
        <w:tc>
          <w:tcPr>
            <w:tcW w:type="dxa" w:w="1033"/>
          </w:tcPr>
          <w:p>
            <w:pPr>
              <w:spacing w:after="20" w:line="240" w:lineRule="auto"/>
            </w:pPr>
            <w:r/>
            <w:r>
              <w:rPr>
                <w:rFonts w:ascii="Times New Roman" w:hAnsi="Times New Roman" w:eastAsia="Times New Roman" w:cs="Times New Roman"/>
                <w:color w:val="000000"/>
                <w:sz w:val="18"/>
              </w:rPr>
              <w:t>89.0</w:t>
            </w:r>
          </w:p>
        </w:tc>
        <w:tc>
          <w:tcPr>
            <w:tcW w:type="dxa" w:w="1033"/>
          </w:tcPr>
          <w:p>
            <w:pPr>
              <w:spacing w:after="20" w:line="240" w:lineRule="auto"/>
            </w:pPr>
            <w:r/>
            <w:r>
              <w:rPr>
                <w:rFonts w:ascii="Times New Roman" w:hAnsi="Times New Roman" w:eastAsia="Times New Roman" w:cs="Times New Roman"/>
                <w:color w:val="000000"/>
                <w:sz w:val="18"/>
              </w:rPr>
              <w:t>4.04</w:t>
            </w:r>
          </w:p>
        </w:tc>
        <w:tc>
          <w:tcPr>
            <w:tcW w:type="dxa" w:w="1162"/>
          </w:tcPr>
          <w:p>
            <w:pPr>
              <w:spacing w:after="20" w:line="240" w:lineRule="auto"/>
            </w:pPr>
            <w:r/>
            <w:r>
              <w:rPr>
                <w:rFonts w:ascii="Times New Roman" w:hAnsi="Times New Roman" w:eastAsia="Times New Roman" w:cs="Times New Roman"/>
                <w:color w:val="000000"/>
                <w:sz w:val="18"/>
              </w:rPr>
              <w:t>147.8</w:t>
            </w:r>
          </w:p>
        </w:tc>
        <w:tc>
          <w:tcPr>
            <w:tcW w:type="dxa" w:w="1162"/>
          </w:tcPr>
          <w:p>
            <w:pPr>
              <w:spacing w:after="20" w:line="240" w:lineRule="auto"/>
            </w:pPr>
            <w:r/>
            <w:r>
              <w:rPr>
                <w:rFonts w:ascii="Times New Roman" w:hAnsi="Times New Roman" w:eastAsia="Times New Roman" w:cs="Times New Roman"/>
                <w:color w:val="000000"/>
                <w:sz w:val="18"/>
              </w:rPr>
              <w:t>169.6</w:t>
            </w:r>
          </w:p>
        </w:tc>
        <w:tc>
          <w:tcPr>
            <w:tcW w:type="dxa" w:w="1162"/>
          </w:tcPr>
          <w:p>
            <w:pPr>
              <w:spacing w:after="20" w:line="240" w:lineRule="auto"/>
            </w:pPr>
            <w:r/>
            <w:r>
              <w:rPr>
                <w:rFonts w:ascii="Times New Roman" w:hAnsi="Times New Roman" w:eastAsia="Times New Roman" w:cs="Times New Roman"/>
                <w:color w:val="000000"/>
                <w:sz w:val="18"/>
              </w:rPr>
              <w:t>7.73</w:t>
            </w:r>
          </w:p>
        </w:tc>
      </w:tr>
      <w:tr>
        <w:tc>
          <w:tcPr>
            <w:tcW w:type="dxa" w:w="1420"/>
          </w:tcPr>
          <w:p>
            <w:pPr>
              <w:spacing w:after="20" w:line="240" w:lineRule="auto"/>
            </w:pPr>
            <w:r/>
            <w:r>
              <w:rPr>
                <w:rFonts w:ascii="Times New Roman" w:hAnsi="Times New Roman" w:eastAsia="Times New Roman" w:cs="Times New Roman"/>
                <w:color w:val="000000"/>
                <w:sz w:val="18"/>
              </w:rPr>
              <w:t>Biomass</w:t>
            </w:r>
          </w:p>
        </w:tc>
        <w:tc>
          <w:tcPr>
            <w:tcW w:type="dxa" w:w="1291"/>
          </w:tcPr>
          <w:p>
            <w:pPr>
              <w:spacing w:after="20" w:line="240" w:lineRule="auto"/>
            </w:pPr>
            <w:r/>
            <w:r>
              <w:rPr>
                <w:rFonts w:ascii="Times New Roman" w:hAnsi="Times New Roman" w:eastAsia="Times New Roman" w:cs="Times New Roman"/>
                <w:color w:val="000000"/>
                <w:sz w:val="18"/>
              </w:rPr>
              <w:t>Northeast</w:t>
            </w:r>
          </w:p>
        </w:tc>
        <w:tc>
          <w:tcPr>
            <w:tcW w:type="dxa" w:w="1033"/>
          </w:tcPr>
          <w:p>
            <w:pPr>
              <w:spacing w:after="20" w:line="240" w:lineRule="auto"/>
            </w:pPr>
            <w:r/>
            <w:r>
              <w:rPr>
                <w:rFonts w:ascii="Times New Roman" w:hAnsi="Times New Roman" w:eastAsia="Times New Roman" w:cs="Times New Roman"/>
                <w:color w:val="000000"/>
                <w:sz w:val="18"/>
              </w:rPr>
              <w:t>62.8</w:t>
            </w:r>
          </w:p>
        </w:tc>
        <w:tc>
          <w:tcPr>
            <w:tcW w:type="dxa" w:w="1033"/>
          </w:tcPr>
          <w:p>
            <w:pPr>
              <w:spacing w:after="20" w:line="240" w:lineRule="auto"/>
            </w:pPr>
            <w:r/>
            <w:r>
              <w:rPr>
                <w:rFonts w:ascii="Times New Roman" w:hAnsi="Times New Roman" w:eastAsia="Times New Roman" w:cs="Times New Roman"/>
                <w:color w:val="000000"/>
                <w:sz w:val="18"/>
              </w:rPr>
              <w:t>74.4</w:t>
            </w:r>
          </w:p>
        </w:tc>
        <w:tc>
          <w:tcPr>
            <w:tcW w:type="dxa" w:w="1033"/>
          </w:tcPr>
          <w:p>
            <w:pPr>
              <w:spacing w:after="20" w:line="240" w:lineRule="auto"/>
            </w:pPr>
            <w:r/>
            <w:r>
              <w:rPr>
                <w:rFonts w:ascii="Times New Roman" w:hAnsi="Times New Roman" w:eastAsia="Times New Roman" w:cs="Times New Roman"/>
                <w:color w:val="000000"/>
                <w:sz w:val="18"/>
              </w:rPr>
              <w:t>10.50</w:t>
            </w:r>
          </w:p>
        </w:tc>
        <w:tc>
          <w:tcPr>
            <w:tcW w:type="dxa" w:w="1162"/>
          </w:tcPr>
          <w:p>
            <w:pPr>
              <w:spacing w:after="20" w:line="240" w:lineRule="auto"/>
            </w:pPr>
            <w:r/>
            <w:r>
              <w:rPr>
                <w:rFonts w:ascii="Times New Roman" w:hAnsi="Times New Roman" w:eastAsia="Times New Roman" w:cs="Times New Roman"/>
                <w:color w:val="000000"/>
                <w:sz w:val="18"/>
              </w:rPr>
              <w:t>72.9</w:t>
            </w:r>
          </w:p>
        </w:tc>
        <w:tc>
          <w:tcPr>
            <w:tcW w:type="dxa" w:w="1162"/>
          </w:tcPr>
          <w:p>
            <w:pPr>
              <w:spacing w:after="20" w:line="240" w:lineRule="auto"/>
            </w:pPr>
            <w:r/>
            <w:r>
              <w:rPr>
                <w:rFonts w:ascii="Times New Roman" w:hAnsi="Times New Roman" w:eastAsia="Times New Roman" w:cs="Times New Roman"/>
                <w:color w:val="000000"/>
                <w:sz w:val="18"/>
              </w:rPr>
              <w:t>84.3</w:t>
            </w:r>
          </w:p>
        </w:tc>
        <w:tc>
          <w:tcPr>
            <w:tcW w:type="dxa" w:w="1162"/>
          </w:tcPr>
          <w:p>
            <w:pPr>
              <w:spacing w:after="20" w:line="240" w:lineRule="auto"/>
            </w:pPr>
            <w:r/>
            <w:r>
              <w:rPr>
                <w:rFonts w:ascii="Times New Roman" w:hAnsi="Times New Roman" w:eastAsia="Times New Roman" w:cs="Times New Roman"/>
                <w:color w:val="000000"/>
                <w:sz w:val="18"/>
              </w:rPr>
              <w:t>12.25</w:t>
            </w:r>
          </w:p>
        </w:tc>
      </w:tr>
      <w:tr>
        <w:tc>
          <w:tcPr>
            <w:tcW w:type="dxa" w:w="1420"/>
          </w:tcPr>
          <w:p>
            <w:pPr>
              <w:spacing w:after="20" w:line="240" w:lineRule="auto"/>
            </w:pPr>
            <w:r/>
            <w:r>
              <w:rPr>
                <w:rFonts w:ascii="Times New Roman" w:hAnsi="Times New Roman" w:eastAsia="Times New Roman" w:cs="Times New Roman"/>
                <w:color w:val="000000"/>
                <w:sz w:val="18"/>
              </w:rPr>
              <w:t>Biomass</w:t>
            </w:r>
          </w:p>
        </w:tc>
        <w:tc>
          <w:tcPr>
            <w:tcW w:type="dxa" w:w="1291"/>
          </w:tcPr>
          <w:p>
            <w:pPr>
              <w:spacing w:after="20" w:line="240" w:lineRule="auto"/>
            </w:pPr>
            <w:r/>
            <w:r>
              <w:rPr>
                <w:rFonts w:ascii="Times New Roman" w:hAnsi="Times New Roman" w:eastAsia="Times New Roman" w:cs="Times New Roman"/>
                <w:color w:val="000000"/>
                <w:sz w:val="18"/>
              </w:rPr>
              <w:t>Midwest</w:t>
            </w:r>
          </w:p>
        </w:tc>
        <w:tc>
          <w:tcPr>
            <w:tcW w:type="dxa" w:w="1033"/>
          </w:tcPr>
          <w:p>
            <w:pPr>
              <w:spacing w:after="20" w:line="240" w:lineRule="auto"/>
            </w:pPr>
            <w:r/>
            <w:r>
              <w:rPr>
                <w:rFonts w:ascii="Times New Roman" w:hAnsi="Times New Roman" w:eastAsia="Times New Roman" w:cs="Times New Roman"/>
                <w:color w:val="000000"/>
                <w:sz w:val="18"/>
              </w:rPr>
              <w:t>37.7</w:t>
            </w:r>
          </w:p>
        </w:tc>
        <w:tc>
          <w:tcPr>
            <w:tcW w:type="dxa" w:w="1033"/>
          </w:tcPr>
          <w:p>
            <w:pPr>
              <w:spacing w:after="20" w:line="240" w:lineRule="auto"/>
            </w:pPr>
            <w:r/>
            <w:r>
              <w:rPr>
                <w:rFonts w:ascii="Times New Roman" w:hAnsi="Times New Roman" w:eastAsia="Times New Roman" w:cs="Times New Roman"/>
                <w:color w:val="000000"/>
                <w:sz w:val="18"/>
              </w:rPr>
              <w:t>45.4</w:t>
            </w:r>
          </w:p>
        </w:tc>
        <w:tc>
          <w:tcPr>
            <w:tcW w:type="dxa" w:w="1033"/>
          </w:tcPr>
          <w:p>
            <w:pPr>
              <w:spacing w:after="20" w:line="240" w:lineRule="auto"/>
            </w:pPr>
            <w:r/>
            <w:r>
              <w:rPr>
                <w:rFonts w:ascii="Times New Roman" w:hAnsi="Times New Roman" w:eastAsia="Times New Roman" w:cs="Times New Roman"/>
                <w:color w:val="000000"/>
                <w:sz w:val="18"/>
              </w:rPr>
              <w:t>7.95</w:t>
            </w:r>
          </w:p>
        </w:tc>
        <w:tc>
          <w:tcPr>
            <w:tcW w:type="dxa" w:w="1162"/>
          </w:tcPr>
          <w:p>
            <w:pPr>
              <w:spacing w:after="20" w:line="240" w:lineRule="auto"/>
            </w:pPr>
            <w:r/>
            <w:r>
              <w:rPr>
                <w:rFonts w:ascii="Times New Roman" w:hAnsi="Times New Roman" w:eastAsia="Times New Roman" w:cs="Times New Roman"/>
                <w:color w:val="000000"/>
                <w:sz w:val="18"/>
              </w:rPr>
              <w:t>21.6</w:t>
            </w:r>
          </w:p>
        </w:tc>
        <w:tc>
          <w:tcPr>
            <w:tcW w:type="dxa" w:w="1162"/>
          </w:tcPr>
          <w:p>
            <w:pPr>
              <w:spacing w:after="20" w:line="240" w:lineRule="auto"/>
            </w:pPr>
            <w:r/>
            <w:r>
              <w:rPr>
                <w:rFonts w:ascii="Times New Roman" w:hAnsi="Times New Roman" w:eastAsia="Times New Roman" w:cs="Times New Roman"/>
                <w:color w:val="000000"/>
                <w:sz w:val="18"/>
              </w:rPr>
              <w:t>27.1</w:t>
            </w:r>
          </w:p>
        </w:tc>
        <w:tc>
          <w:tcPr>
            <w:tcW w:type="dxa" w:w="1162"/>
          </w:tcPr>
          <w:p>
            <w:pPr>
              <w:spacing w:after="20" w:line="240" w:lineRule="auto"/>
            </w:pPr>
            <w:r/>
            <w:r>
              <w:rPr>
                <w:rFonts w:ascii="Times New Roman" w:hAnsi="Times New Roman" w:eastAsia="Times New Roman" w:cs="Times New Roman"/>
                <w:color w:val="000000"/>
                <w:sz w:val="18"/>
              </w:rPr>
              <w:t>4.63</w:t>
            </w:r>
          </w:p>
        </w:tc>
      </w:tr>
      <w:tr>
        <w:tc>
          <w:tcPr>
            <w:tcW w:type="dxa" w:w="1420"/>
          </w:tcPr>
          <w:p>
            <w:pPr>
              <w:spacing w:after="20" w:line="240" w:lineRule="auto"/>
            </w:pPr>
            <w:r/>
            <w:r>
              <w:rPr>
                <w:rFonts w:ascii="Times New Roman" w:hAnsi="Times New Roman" w:eastAsia="Times New Roman" w:cs="Times New Roman"/>
                <w:color w:val="000000"/>
                <w:sz w:val="18"/>
              </w:rPr>
              <w:t>Biomass</w:t>
            </w:r>
          </w:p>
        </w:tc>
        <w:tc>
          <w:tcPr>
            <w:tcW w:type="dxa" w:w="1291"/>
          </w:tcPr>
          <w:p>
            <w:pPr>
              <w:spacing w:after="20" w:line="240" w:lineRule="auto"/>
            </w:pPr>
            <w:r/>
            <w:r>
              <w:rPr>
                <w:rFonts w:ascii="Times New Roman" w:hAnsi="Times New Roman" w:eastAsia="Times New Roman" w:cs="Times New Roman"/>
                <w:color w:val="000000"/>
                <w:sz w:val="18"/>
              </w:rPr>
              <w:t>West</w:t>
            </w:r>
          </w:p>
        </w:tc>
        <w:tc>
          <w:tcPr>
            <w:tcW w:type="dxa" w:w="1033"/>
          </w:tcPr>
          <w:p>
            <w:pPr>
              <w:spacing w:after="20" w:line="240" w:lineRule="auto"/>
            </w:pPr>
            <w:r/>
            <w:r>
              <w:rPr>
                <w:rFonts w:ascii="Times New Roman" w:hAnsi="Times New Roman" w:eastAsia="Times New Roman" w:cs="Times New Roman"/>
                <w:color w:val="000000"/>
                <w:sz w:val="18"/>
              </w:rPr>
              <w:t>32.2</w:t>
            </w:r>
          </w:p>
        </w:tc>
        <w:tc>
          <w:tcPr>
            <w:tcW w:type="dxa" w:w="1033"/>
          </w:tcPr>
          <w:p>
            <w:pPr>
              <w:spacing w:after="20" w:line="240" w:lineRule="auto"/>
            </w:pPr>
            <w:r/>
            <w:r>
              <w:rPr>
                <w:rFonts w:ascii="Times New Roman" w:hAnsi="Times New Roman" w:eastAsia="Times New Roman" w:cs="Times New Roman"/>
                <w:color w:val="000000"/>
                <w:sz w:val="18"/>
              </w:rPr>
              <w:t>40.3</w:t>
            </w:r>
          </w:p>
        </w:tc>
        <w:tc>
          <w:tcPr>
            <w:tcW w:type="dxa" w:w="1033"/>
          </w:tcPr>
          <w:p>
            <w:pPr>
              <w:spacing w:after="20" w:line="240" w:lineRule="auto"/>
            </w:pPr>
            <w:r/>
            <w:r>
              <w:rPr>
                <w:rFonts w:ascii="Times New Roman" w:hAnsi="Times New Roman" w:eastAsia="Times New Roman" w:cs="Times New Roman"/>
                <w:color w:val="000000"/>
                <w:sz w:val="18"/>
              </w:rPr>
              <w:t>5.18</w:t>
            </w:r>
          </w:p>
        </w:tc>
        <w:tc>
          <w:tcPr>
            <w:tcW w:type="dxa" w:w="1162"/>
          </w:tcPr>
          <w:p>
            <w:pPr>
              <w:spacing w:after="20" w:line="240" w:lineRule="auto"/>
            </w:pPr>
            <w:r/>
            <w:r>
              <w:rPr>
                <w:rFonts w:ascii="Times New Roman" w:hAnsi="Times New Roman" w:eastAsia="Times New Roman" w:cs="Times New Roman"/>
                <w:color w:val="000000"/>
                <w:sz w:val="18"/>
              </w:rPr>
              <w:t>62.6</w:t>
            </w:r>
          </w:p>
        </w:tc>
        <w:tc>
          <w:tcPr>
            <w:tcW w:type="dxa" w:w="1162"/>
          </w:tcPr>
          <w:p>
            <w:pPr>
              <w:spacing w:after="20" w:line="240" w:lineRule="auto"/>
            </w:pPr>
            <w:r/>
            <w:r>
              <w:rPr>
                <w:rFonts w:ascii="Times New Roman" w:hAnsi="Times New Roman" w:eastAsia="Times New Roman" w:cs="Times New Roman"/>
                <w:color w:val="000000"/>
                <w:sz w:val="18"/>
              </w:rPr>
              <w:t>75.6</w:t>
            </w:r>
          </w:p>
        </w:tc>
        <w:tc>
          <w:tcPr>
            <w:tcW w:type="dxa" w:w="1162"/>
          </w:tcPr>
          <w:p>
            <w:pPr>
              <w:spacing w:after="20" w:line="240" w:lineRule="auto"/>
            </w:pPr>
            <w:r/>
            <w:r>
              <w:rPr>
                <w:rFonts w:ascii="Times New Roman" w:hAnsi="Times New Roman" w:eastAsia="Times New Roman" w:cs="Times New Roman"/>
                <w:color w:val="000000"/>
                <w:sz w:val="18"/>
              </w:rPr>
              <w:t>10.05</w:t>
            </w:r>
          </w:p>
        </w:tc>
      </w:tr>
      <w:tr>
        <w:tc>
          <w:tcPr>
            <w:tcW w:type="dxa" w:w="1420"/>
          </w:tcPr>
          <w:p>
            <w:pPr>
              <w:spacing w:after="20" w:line="240" w:lineRule="auto"/>
            </w:pPr>
            <w:r/>
            <w:r>
              <w:rPr>
                <w:rFonts w:ascii="Times New Roman" w:hAnsi="Times New Roman" w:eastAsia="Times New Roman" w:cs="Times New Roman"/>
                <w:color w:val="000000"/>
                <w:sz w:val="18"/>
              </w:rPr>
              <w:t>Geothermal</w:t>
            </w:r>
          </w:p>
        </w:tc>
        <w:tc>
          <w:tcPr>
            <w:tcW w:type="dxa" w:w="1291"/>
          </w:tcPr>
          <w:p>
            <w:pPr>
              <w:spacing w:after="20" w:line="240" w:lineRule="auto"/>
            </w:pPr>
            <w:r/>
            <w:r>
              <w:rPr>
                <w:rFonts w:ascii="Times New Roman" w:hAnsi="Times New Roman" w:eastAsia="Times New Roman" w:cs="Times New Roman"/>
                <w:color w:val="000000"/>
                <w:sz w:val="18"/>
              </w:rPr>
              <w:t>West</w:t>
            </w:r>
          </w:p>
        </w:tc>
        <w:tc>
          <w:tcPr>
            <w:tcW w:type="dxa" w:w="1033"/>
          </w:tcPr>
          <w:p>
            <w:pPr>
              <w:spacing w:after="20" w:line="240" w:lineRule="auto"/>
            </w:pPr>
            <w:r/>
            <w:r>
              <w:rPr>
                <w:rFonts w:ascii="Times New Roman" w:hAnsi="Times New Roman" w:eastAsia="Times New Roman" w:cs="Times New Roman"/>
                <w:color w:val="000000"/>
                <w:sz w:val="18"/>
              </w:rPr>
              <w:t>44.3</w:t>
            </w:r>
          </w:p>
        </w:tc>
        <w:tc>
          <w:tcPr>
            <w:tcW w:type="dxa" w:w="1033"/>
          </w:tcPr>
          <w:p>
            <w:pPr>
              <w:spacing w:after="20" w:line="240" w:lineRule="auto"/>
            </w:pPr>
            <w:r/>
            <w:r>
              <w:rPr>
                <w:rFonts w:ascii="Times New Roman" w:hAnsi="Times New Roman" w:eastAsia="Times New Roman" w:cs="Times New Roman"/>
                <w:color w:val="000000"/>
                <w:sz w:val="18"/>
              </w:rPr>
              <w:t>51.9</w:t>
            </w:r>
          </w:p>
        </w:tc>
        <w:tc>
          <w:tcPr>
            <w:tcW w:type="dxa" w:w="1033"/>
          </w:tcPr>
          <w:p>
            <w:pPr>
              <w:spacing w:after="20" w:line="240" w:lineRule="auto"/>
            </w:pPr>
            <w:r/>
            <w:r>
              <w:rPr>
                <w:rFonts w:ascii="Times New Roman" w:hAnsi="Times New Roman" w:eastAsia="Times New Roman" w:cs="Times New Roman"/>
                <w:color w:val="000000"/>
                <w:sz w:val="18"/>
              </w:rPr>
              <w:t>3.47</w:t>
            </w:r>
          </w:p>
        </w:tc>
        <w:tc>
          <w:tcPr>
            <w:tcW w:type="dxa" w:w="1162"/>
          </w:tcPr>
          <w:p>
            <w:pPr>
              <w:spacing w:after="20" w:line="240" w:lineRule="auto"/>
            </w:pPr>
            <w:r/>
            <w:r>
              <w:rPr>
                <w:rFonts w:ascii="Times New Roman" w:hAnsi="Times New Roman" w:eastAsia="Times New Roman" w:cs="Times New Roman"/>
                <w:color w:val="000000"/>
                <w:sz w:val="18"/>
              </w:rPr>
              <w:t>68.9</w:t>
            </w:r>
          </w:p>
        </w:tc>
        <w:tc>
          <w:tcPr>
            <w:tcW w:type="dxa" w:w="1162"/>
          </w:tcPr>
          <w:p>
            <w:pPr>
              <w:spacing w:after="20" w:line="240" w:lineRule="auto"/>
            </w:pPr>
            <w:r/>
            <w:r>
              <w:rPr>
                <w:rFonts w:ascii="Times New Roman" w:hAnsi="Times New Roman" w:eastAsia="Times New Roman" w:cs="Times New Roman"/>
                <w:color w:val="000000"/>
                <w:sz w:val="18"/>
              </w:rPr>
              <w:t>83.8</w:t>
            </w:r>
          </w:p>
        </w:tc>
        <w:tc>
          <w:tcPr>
            <w:tcW w:type="dxa" w:w="1162"/>
          </w:tcPr>
          <w:p>
            <w:pPr>
              <w:spacing w:after="20" w:line="240" w:lineRule="auto"/>
            </w:pPr>
            <w:r/>
            <w:r>
              <w:rPr>
                <w:rFonts w:ascii="Times New Roman" w:hAnsi="Times New Roman" w:eastAsia="Times New Roman" w:cs="Times New Roman"/>
                <w:color w:val="000000"/>
                <w:sz w:val="18"/>
              </w:rPr>
              <w:t>5.36</w:t>
            </w:r>
          </w:p>
        </w:tc>
      </w:tr>
    </w:tbl>
    <w:p>
      <w:pPr>
        <w:spacing w:after="40"/>
      </w:pPr>
    </w:p>
    <w:p>
      <w:pPr>
        <w:keepNext/>
        <w:spacing w:before="120"/>
        <w:jc w:val="center"/>
      </w:pPr>
      <w:r>
        <w:drawing>
          <wp:inline xmlns:a="http://schemas.openxmlformats.org/drawingml/2006/main" xmlns:pic="http://schemas.openxmlformats.org/drawingml/2006/picture">
            <wp:extent cx="5832000" cy="2682720"/>
            <wp:docPr id="1" name="Picture 1"/>
            <wp:cNvGraphicFramePr>
              <a:graphicFrameLocks noChangeAspect="1"/>
            </wp:cNvGraphicFramePr>
            <a:graphic>
              <a:graphicData uri="http://schemas.openxmlformats.org/drawingml/2006/picture">
                <pic:pic>
                  <pic:nvPicPr>
                    <pic:cNvPr id="0" name="best_mape.png"/>
                    <pic:cNvPicPr/>
                  </pic:nvPicPr>
                  <pic:blipFill>
                    <a:blip r:embed="rId9"/>
                    <a:stretch>
                      <a:fillRect/>
                    </a:stretch>
                  </pic:blipFill>
                  <pic:spPr>
                    <a:xfrm>
                      <a:off x="0" y="0"/>
                      <a:ext cx="5832000" cy="26827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9.1: MAPE of the best model for each resource in each region (values shown on the bars; see Table 9.2)</w:t>
      </w:r>
    </w:p>
    <w:p>
      <w:pPr>
        <w:pStyle w:val="ListBullet"/>
      </w:pPr>
      <w:r>
        <w:rPr>
          <w:rFonts w:ascii="Times New Roman" w:hAnsi="Times New Roman" w:eastAsia="Times New Roman" w:cs="Times New Roman"/>
          <w:b/>
          <w:color w:val="000000"/>
        </w:rPr>
        <w:t>MAE and RMSE scale with the size of each region's output</w:t>
      </w:r>
      <w:r>
        <w:rPr>
          <w:rFonts w:ascii="Times New Roman" w:hAnsi="Times New Roman" w:eastAsia="Times New Roman" w:cs="Times New Roman"/>
          <w:color w:val="000000"/>
        </w:rPr>
        <w:t xml:space="preserve"> (e.g. Western hydro errors of about 1,500 GWh against Northeastern hydro errors of about 120 GWh), so MAPE is used to compare difficulty across regions.</w:t>
      </w:r>
    </w:p>
    <w:p>
      <w:pPr>
        <w:pStyle w:val="ListBullet"/>
      </w:pPr>
      <w:r>
        <w:rPr>
          <w:rFonts w:ascii="Times New Roman" w:hAnsi="Times New Roman" w:eastAsia="Times New Roman" w:cs="Times New Roman"/>
          <w:b/>
          <w:color w:val="000000"/>
        </w:rPr>
        <w:t>No single model wins everywhere.</w:t>
      </w:r>
      <w:r>
        <w:rPr>
          <w:rFonts w:ascii="Times New Roman" w:hAnsi="Times New Roman" w:eastAsia="Times New Roman" w:cs="Times New Roman"/>
          <w:color w:val="000000"/>
        </w:rPr>
        <w:t xml:space="preserve"> Holt-Winters wins most often for wind (South, Midwest, West); tree models win for solar in the South and Northeast; SARIMA wins for biomass in the South and West and for Western geothermal; the seasonal naive cannot be beaten for Midwestern biomass and Northeastern wind.</w:t>
      </w:r>
    </w:p>
    <w:p>
      <w:pPr>
        <w:pStyle w:val="ListBullet"/>
      </w:pPr>
      <w:r>
        <w:rPr>
          <w:rFonts w:ascii="Times New Roman" w:hAnsi="Times New Roman" w:eastAsia="Times New Roman" w:cs="Times New Roman"/>
          <w:b/>
          <w:color w:val="000000"/>
        </w:rPr>
        <w:t>SARIMA is reliable for slowly changing sources but not for wind that has recently slowed down:</w:t>
      </w:r>
      <w:r>
        <w:rPr>
          <w:rFonts w:ascii="Times New Roman" w:hAnsi="Times New Roman" w:eastAsia="Times New Roman" w:cs="Times New Roman"/>
          <w:color w:val="000000"/>
        </w:rPr>
        <w:t xml:space="preserve"> for Southern and Midwestern wind it over-forecasts (MAPE 20.0% and 17.7%), because its near-unit seasonal AR term carries forward the earlier rapid growth.</w:t>
      </w:r>
    </w:p>
    <w:p>
      <w:pPr>
        <w:pStyle w:val="ListBullet"/>
      </w:pPr>
      <w:r>
        <w:rPr>
          <w:rFonts w:ascii="Times New Roman" w:hAnsi="Times New Roman" w:eastAsia="Times New Roman" w:cs="Times New Roman"/>
          <w:b/>
          <w:color w:val="000000"/>
        </w:rPr>
        <w:t>The seasonal naive is a strong benchmark</w:t>
      </w:r>
      <w:r>
        <w:rPr>
          <w:rFonts w:ascii="Times New Roman" w:hAnsi="Times New Roman" w:eastAsia="Times New Roman" w:cs="Times New Roman"/>
          <w:color w:val="000000"/>
        </w:rPr>
        <w:t xml:space="preserve"> for stable series (Midwestern biomass 4.6%, Midwestern wind 7.7%) and a very poor one for fast-growing solar (24–58%).</w:t>
      </w:r>
    </w:p>
    <w:p>
      <w:pPr>
        <w:pStyle w:val="Heading2"/>
      </w:pPr>
      <w:r>
        <w:rPr>
          <w:rFonts w:ascii="Times New Roman" w:hAnsi="Times New Roman" w:eastAsia="Times New Roman" w:cs="Times New Roman"/>
          <w:color w:val="000000"/>
        </w:rPr>
        <w:t>9.3 Which sources and regions are hardest to forecast?</w:t>
      </w:r>
    </w:p>
    <w:p>
      <w:pPr>
        <w:keepNext/>
        <w:spacing w:before="120"/>
      </w:pPr>
      <w:r>
        <w:rPr>
          <w:rFonts w:ascii="Times New Roman" w:hAnsi="Times New Roman" w:eastAsia="Times New Roman" w:cs="Times New Roman"/>
          <w:b/>
          <w:color w:val="000000"/>
          <w:sz w:val="22"/>
        </w:rPr>
        <w:t>Table 9.4 Forecast difficulty ranking within each region</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4649"/>
            <w:shd w:val="clear" w:color="auto" w:fill="E7E7E7"/>
          </w:tcPr>
          <w:p>
            <w:pPr>
              <w:spacing w:after="20" w:line="240" w:lineRule="auto"/>
            </w:pPr>
            <w:r/>
            <w:r>
              <w:rPr>
                <w:rFonts w:ascii="Times New Roman" w:hAnsi="Times New Roman" w:eastAsia="Times New Roman" w:cs="Times New Roman"/>
                <w:b/>
                <w:color w:val="000000"/>
                <w:sz w:val="20"/>
              </w:rPr>
              <w:t>Region</w:t>
            </w:r>
          </w:p>
        </w:tc>
        <w:tc>
          <w:tcPr>
            <w:tcW w:type="dxa" w:w="4649"/>
            <w:shd w:val="clear" w:color="auto" w:fill="E7E7E7"/>
          </w:tcPr>
          <w:p>
            <w:pPr>
              <w:spacing w:after="20" w:line="240" w:lineRule="auto"/>
            </w:pPr>
            <w:r/>
            <w:r>
              <w:rPr>
                <w:rFonts w:ascii="Times New Roman" w:hAnsi="Times New Roman" w:eastAsia="Times New Roman" w:cs="Times New Roman"/>
                <w:b/>
                <w:color w:val="000000"/>
                <w:sz w:val="20"/>
              </w:rPr>
              <w:t>Easiest → hardest (by best-model MAPE)</w:t>
            </w:r>
          </w:p>
        </w:tc>
      </w:tr>
      <w:tr>
        <w:tc>
          <w:tcPr>
            <w:tcW w:type="dxa" w:w="4649"/>
          </w:tcPr>
          <w:p>
            <w:pPr>
              <w:spacing w:after="20" w:line="240" w:lineRule="auto"/>
            </w:pPr>
            <w:r/>
            <w:r>
              <w:rPr>
                <w:rFonts w:ascii="Times New Roman" w:hAnsi="Times New Roman" w:eastAsia="Times New Roman" w:cs="Times New Roman"/>
                <w:color w:val="000000"/>
                <w:sz w:val="20"/>
              </w:rPr>
              <w:t>South</w:t>
            </w:r>
          </w:p>
        </w:tc>
        <w:tc>
          <w:tcPr>
            <w:tcW w:type="dxa" w:w="4649"/>
          </w:tcPr>
          <w:p>
            <w:pPr>
              <w:spacing w:after="20" w:line="240" w:lineRule="auto"/>
            </w:pPr>
            <w:r/>
            <w:r>
              <w:rPr>
                <w:rFonts w:ascii="Times New Roman" w:hAnsi="Times New Roman" w:eastAsia="Times New Roman" w:cs="Times New Roman"/>
                <w:color w:val="000000"/>
                <w:sz w:val="20"/>
              </w:rPr>
              <w:t>Biomass 4.0% → Solar 5.5% → Wind 7.0% → Hydro 17.0%</w:t>
            </w:r>
          </w:p>
        </w:tc>
      </w:tr>
      <w:tr>
        <w:tc>
          <w:tcPr>
            <w:tcW w:type="dxa" w:w="4649"/>
          </w:tcPr>
          <w:p>
            <w:pPr>
              <w:spacing w:after="20" w:line="240" w:lineRule="auto"/>
            </w:pPr>
            <w:r/>
            <w:r>
              <w:rPr>
                <w:rFonts w:ascii="Times New Roman" w:hAnsi="Times New Roman" w:eastAsia="Times New Roman" w:cs="Times New Roman"/>
                <w:color w:val="000000"/>
                <w:sz w:val="20"/>
              </w:rPr>
              <w:t>Northeast (test year)</w:t>
            </w:r>
          </w:p>
        </w:tc>
        <w:tc>
          <w:tcPr>
            <w:tcW w:type="dxa" w:w="4649"/>
          </w:tcPr>
          <w:p>
            <w:pPr>
              <w:spacing w:after="20" w:line="240" w:lineRule="auto"/>
            </w:pPr>
            <w:r/>
            <w:r>
              <w:rPr>
                <w:rFonts w:ascii="Times New Roman" w:hAnsi="Times New Roman" w:eastAsia="Times New Roman" w:cs="Times New Roman"/>
                <w:color w:val="000000"/>
                <w:sz w:val="20"/>
              </w:rPr>
              <w:t>Hydro 4.3% → Solar 4.5% → Biomass 5.4% → Wind 11.0%</w:t>
            </w:r>
          </w:p>
        </w:tc>
      </w:tr>
      <w:tr>
        <w:tc>
          <w:tcPr>
            <w:tcW w:type="dxa" w:w="4649"/>
          </w:tcPr>
          <w:p>
            <w:pPr>
              <w:spacing w:after="20" w:line="240" w:lineRule="auto"/>
            </w:pPr>
            <w:r/>
            <w:r>
              <w:rPr>
                <w:rFonts w:ascii="Times New Roman" w:hAnsi="Times New Roman" w:eastAsia="Times New Roman" w:cs="Times New Roman"/>
                <w:color w:val="000000"/>
                <w:sz w:val="20"/>
              </w:rPr>
              <w:t>Northeast (3-year rolling sMAPE)</w:t>
            </w:r>
          </w:p>
        </w:tc>
        <w:tc>
          <w:tcPr>
            <w:tcW w:type="dxa" w:w="4649"/>
          </w:tcPr>
          <w:p>
            <w:pPr>
              <w:spacing w:after="20" w:line="240" w:lineRule="auto"/>
            </w:pPr>
            <w:r/>
            <w:r>
              <w:rPr>
                <w:rFonts w:ascii="Times New Roman" w:hAnsi="Times New Roman" w:eastAsia="Times New Roman" w:cs="Times New Roman"/>
                <w:color w:val="000000"/>
                <w:sz w:val="20"/>
              </w:rPr>
              <w:t>Biomass 4.6% → Hydro 7.6% → Solar 11.2% → Wind 12.3%</w:t>
            </w:r>
          </w:p>
        </w:tc>
      </w:tr>
      <w:tr>
        <w:tc>
          <w:tcPr>
            <w:tcW w:type="dxa" w:w="4649"/>
          </w:tcPr>
          <w:p>
            <w:pPr>
              <w:spacing w:after="20" w:line="240" w:lineRule="auto"/>
            </w:pPr>
            <w:r/>
            <w:r>
              <w:rPr>
                <w:rFonts w:ascii="Times New Roman" w:hAnsi="Times New Roman" w:eastAsia="Times New Roman" w:cs="Times New Roman"/>
                <w:color w:val="000000"/>
                <w:sz w:val="20"/>
              </w:rPr>
              <w:t>Midwest</w:t>
            </w:r>
          </w:p>
        </w:tc>
        <w:tc>
          <w:tcPr>
            <w:tcW w:type="dxa" w:w="4649"/>
          </w:tcPr>
          <w:p>
            <w:pPr>
              <w:spacing w:after="20" w:line="240" w:lineRule="auto"/>
            </w:pPr>
            <w:r/>
            <w:r>
              <w:rPr>
                <w:rFonts w:ascii="Times New Roman" w:hAnsi="Times New Roman" w:eastAsia="Times New Roman" w:cs="Times New Roman"/>
                <w:color w:val="000000"/>
                <w:sz w:val="20"/>
              </w:rPr>
              <w:t>Biomass 4.6% → Wind 8.1% → Solar 11.4% → Hydro 13.7%</w:t>
            </w:r>
          </w:p>
        </w:tc>
      </w:tr>
      <w:tr>
        <w:tc>
          <w:tcPr>
            <w:tcW w:type="dxa" w:w="4649"/>
          </w:tcPr>
          <w:p>
            <w:pPr>
              <w:spacing w:after="20" w:line="240" w:lineRule="auto"/>
            </w:pPr>
            <w:r/>
            <w:r>
              <w:rPr>
                <w:rFonts w:ascii="Times New Roman" w:hAnsi="Times New Roman" w:eastAsia="Times New Roman" w:cs="Times New Roman"/>
                <w:color w:val="000000"/>
                <w:sz w:val="20"/>
              </w:rPr>
              <w:t>West</w:t>
            </w:r>
          </w:p>
        </w:tc>
        <w:tc>
          <w:tcPr>
            <w:tcW w:type="dxa" w:w="4649"/>
          </w:tcPr>
          <w:p>
            <w:pPr>
              <w:spacing w:after="20" w:line="240" w:lineRule="auto"/>
            </w:pPr>
            <w:r/>
            <w:r>
              <w:rPr>
                <w:rFonts w:ascii="Times New Roman" w:hAnsi="Times New Roman" w:eastAsia="Times New Roman" w:cs="Times New Roman"/>
                <w:color w:val="000000"/>
                <w:sz w:val="20"/>
              </w:rPr>
              <w:t>Geothermal 3.5% → Biomass 5.2% → Solar 7.1% → Wind 7.8% → Hydro 9.9%</w:t>
            </w:r>
          </w:p>
        </w:tc>
      </w:tr>
    </w:tbl>
    <w:p>
      <w:pPr>
        <w:spacing w:after="40"/>
      </w:pPr>
    </w:p>
    <w:p>
      <w:pPr>
        <w:pStyle w:val="ListBullet"/>
      </w:pPr>
      <w:r>
        <w:rPr>
          <w:rFonts w:ascii="Times New Roman" w:hAnsi="Times New Roman" w:eastAsia="Times New Roman" w:cs="Times New Roman"/>
          <w:b/>
          <w:color w:val="000000"/>
        </w:rPr>
        <w:t>Biomass (and Western geothermal) is the easiest source everywhere</w:t>
      </w:r>
      <w:r>
        <w:rPr>
          <w:rFonts w:ascii="Times New Roman" w:hAnsi="Times New Roman" w:eastAsia="Times New Roman" w:cs="Times New Roman"/>
          <w:color w:val="000000"/>
        </w:rPr>
        <w:t xml:space="preserve"> (MAPE 3.5–5.4%): small, regular seasonal cycles and slow trends.</w:t>
      </w:r>
    </w:p>
    <w:p>
      <w:pPr>
        <w:pStyle w:val="ListBullet"/>
      </w:pPr>
      <w:r>
        <w:rPr>
          <w:rFonts w:ascii="Times New Roman" w:hAnsi="Times New Roman" w:eastAsia="Times New Roman" w:cs="Times New Roman"/>
          <w:b/>
          <w:color w:val="000000"/>
        </w:rPr>
        <w:t>Hydro is the hardest source in the South, Midwest and West</w:t>
      </w:r>
      <w:r>
        <w:rPr>
          <w:rFonts w:ascii="Times New Roman" w:hAnsi="Times New Roman" w:eastAsia="Times New Roman" w:cs="Times New Roman"/>
          <w:color w:val="000000"/>
        </w:rPr>
        <w:t xml:space="preserve"> (9.9–17.0%), because its variation is driven by rainfall and snowpack that the series' own history cannot predict. The Northeast is the exception on its single test year, but its 3-year rolling result again places hydro behind biomass.</w:t>
      </w:r>
    </w:p>
    <w:p>
      <w:pPr>
        <w:pStyle w:val="ListBullet"/>
      </w:pPr>
      <w:r>
        <w:rPr>
          <w:rFonts w:ascii="Times New Roman" w:hAnsi="Times New Roman" w:eastAsia="Times New Roman" w:cs="Times New Roman"/>
          <w:b/>
          <w:color w:val="000000"/>
        </w:rPr>
        <w:t>Wind is the hardest Northeastern source</w:t>
      </w:r>
      <w:r>
        <w:rPr>
          <w:rFonts w:ascii="Times New Roman" w:hAnsi="Times New Roman" w:eastAsia="Times New Roman" w:cs="Times New Roman"/>
          <w:color w:val="000000"/>
        </w:rPr>
        <w:t xml:space="preserve"> and only barely beats the seasonal naive there; in the other regions Holt-Winters forecasts wind to within 7–8%.</w:t>
      </w:r>
    </w:p>
    <w:p>
      <w:pPr>
        <w:pStyle w:val="Heading2"/>
      </w:pPr>
      <w:r>
        <w:rPr>
          <w:rFonts w:ascii="Times New Roman" w:hAnsi="Times New Roman" w:eastAsia="Times New Roman" w:cs="Times New Roman"/>
          <w:color w:val="000000"/>
        </w:rPr>
        <w:t>9.4 Regional generation profiles: trend comparison</w:t>
      </w:r>
    </w:p>
    <w:p>
      <w:pPr>
        <w:keepNext/>
        <w:spacing w:before="120"/>
      </w:pPr>
      <w:r>
        <w:rPr>
          <w:rFonts w:ascii="Times New Roman" w:hAnsi="Times New Roman" w:eastAsia="Times New Roman" w:cs="Times New Roman"/>
          <w:b/>
          <w:color w:val="000000"/>
          <w:sz w:val="22"/>
        </w:rPr>
        <w:t>Table 9.5 Compound annual growth rate of each source (2001–2025 unless stated)</w:t>
      </w:r>
    </w:p>
    <w:tbl>
      <w:tblPr>
        <w:tblStyle w:val="TableGrid"/>
        <w:tblW w:type="auto" w:w="0"/>
        <w:jc w:val="center"/>
        <w:tblLayout w:type="fixed"/>
        <w:tblLook w:firstColumn="1" w:firstRow="1" w:lastColumn="0" w:lastRow="0" w:noHBand="0" w:noVBand="1" w:val="04A0"/>
        <w:tblLayout w:type="fixed"/>
      </w:tblPr>
      <w:tblGrid>
        <w:gridCol w:w="818"/>
        <w:gridCol w:w="2306"/>
        <w:gridCol w:w="1562"/>
        <w:gridCol w:w="2306"/>
        <w:gridCol w:w="2306"/>
      </w:tblGrid>
      <w:tr>
        <w:trPr>
          <w:tblHeader w:val="true"/>
        </w:trPr>
        <w:tc>
          <w:tcPr>
            <w:tcW w:type="dxa" w:w="818"/>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2306"/>
            <w:shd w:val="clear" w:color="auto" w:fill="E7E7E7"/>
          </w:tcPr>
          <w:p>
            <w:pPr>
              <w:spacing w:after="20" w:line="240" w:lineRule="auto"/>
            </w:pPr>
            <w:r/>
            <w:r>
              <w:rPr>
                <w:rFonts w:ascii="Times New Roman" w:hAnsi="Times New Roman" w:eastAsia="Times New Roman" w:cs="Times New Roman"/>
                <w:b/>
                <w:color w:val="000000"/>
                <w:sz w:val="20"/>
              </w:rPr>
              <w:t>South</w:t>
            </w:r>
          </w:p>
        </w:tc>
        <w:tc>
          <w:tcPr>
            <w:tcW w:type="dxa" w:w="1562"/>
            <w:shd w:val="clear" w:color="auto" w:fill="E7E7E7"/>
          </w:tcPr>
          <w:p>
            <w:pPr>
              <w:spacing w:after="20" w:line="240" w:lineRule="auto"/>
            </w:pPr>
            <w:r/>
            <w:r>
              <w:rPr>
                <w:rFonts w:ascii="Times New Roman" w:hAnsi="Times New Roman" w:eastAsia="Times New Roman" w:cs="Times New Roman"/>
                <w:b/>
                <w:color w:val="000000"/>
                <w:sz w:val="20"/>
              </w:rPr>
              <w:t>Northeast</w:t>
            </w:r>
          </w:p>
        </w:tc>
        <w:tc>
          <w:tcPr>
            <w:tcW w:type="dxa" w:w="2306"/>
            <w:shd w:val="clear" w:color="auto" w:fill="E7E7E7"/>
          </w:tcPr>
          <w:p>
            <w:pPr>
              <w:spacing w:after="20" w:line="240" w:lineRule="auto"/>
            </w:pPr>
            <w:r/>
            <w:r>
              <w:rPr>
                <w:rFonts w:ascii="Times New Roman" w:hAnsi="Times New Roman" w:eastAsia="Times New Roman" w:cs="Times New Roman"/>
                <w:b/>
                <w:color w:val="000000"/>
                <w:sz w:val="20"/>
              </w:rPr>
              <w:t>Midwest</w:t>
            </w:r>
          </w:p>
        </w:tc>
        <w:tc>
          <w:tcPr>
            <w:tcW w:type="dxa" w:w="2306"/>
            <w:shd w:val="clear" w:color="auto" w:fill="E7E7E7"/>
          </w:tcPr>
          <w:p>
            <w:pPr>
              <w:spacing w:after="20" w:line="240" w:lineRule="auto"/>
            </w:pPr>
            <w:r/>
            <w:r>
              <w:rPr>
                <w:rFonts w:ascii="Times New Roman" w:hAnsi="Times New Roman" w:eastAsia="Times New Roman" w:cs="Times New Roman"/>
                <w:b/>
                <w:color w:val="000000"/>
                <w:sz w:val="20"/>
              </w:rPr>
              <w:t>West</w:t>
            </w:r>
          </w:p>
        </w:tc>
      </w:tr>
      <w:tr>
        <w:tc>
          <w:tcPr>
            <w:tcW w:type="dxa" w:w="818"/>
          </w:tcPr>
          <w:p>
            <w:pPr>
              <w:spacing w:after="20" w:line="240" w:lineRule="auto"/>
            </w:pPr>
            <w:r/>
            <w:r>
              <w:rPr>
                <w:rFonts w:ascii="Times New Roman" w:hAnsi="Times New Roman" w:eastAsia="Times New Roman" w:cs="Times New Roman"/>
                <w:color w:val="000000"/>
                <w:sz w:val="20"/>
              </w:rPr>
              <w:t>Hydro</w:t>
            </w:r>
          </w:p>
        </w:tc>
        <w:tc>
          <w:tcPr>
            <w:tcW w:type="dxa" w:w="2306"/>
          </w:tcPr>
          <w:p>
            <w:pPr>
              <w:spacing w:after="20" w:line="240" w:lineRule="auto"/>
            </w:pPr>
            <w:r/>
            <w:r>
              <w:rPr>
                <w:rFonts w:ascii="Times New Roman" w:hAnsi="Times New Roman" w:eastAsia="Times New Roman" w:cs="Times New Roman"/>
                <w:color w:val="000000"/>
                <w:sz w:val="20"/>
              </w:rPr>
              <w:t>0.7%/yr, no meaningful trend (r = 0.25)</w:t>
            </w:r>
          </w:p>
        </w:tc>
        <w:tc>
          <w:tcPr>
            <w:tcW w:type="dxa" w:w="1562"/>
          </w:tcPr>
          <w:p>
            <w:pPr>
              <w:spacing w:after="20" w:line="240" w:lineRule="auto"/>
            </w:pPr>
            <w:r/>
            <w:r>
              <w:rPr>
                <w:rFonts w:ascii="Times New Roman" w:hAnsi="Times New Roman" w:eastAsia="Times New Roman" w:cs="Times New Roman"/>
                <w:color w:val="000000"/>
                <w:sz w:val="20"/>
              </w:rPr>
              <w:t>−0.1%/yr, flat</w:t>
            </w:r>
          </w:p>
        </w:tc>
        <w:tc>
          <w:tcPr>
            <w:tcW w:type="dxa" w:w="2306"/>
          </w:tcPr>
          <w:p>
            <w:pPr>
              <w:spacing w:after="20" w:line="240" w:lineRule="auto"/>
            </w:pPr>
            <w:r/>
            <w:r>
              <w:rPr>
                <w:rFonts w:ascii="Times New Roman" w:hAnsi="Times New Roman" w:eastAsia="Times New Roman" w:cs="Times New Roman"/>
                <w:color w:val="000000"/>
                <w:sz w:val="20"/>
              </w:rPr>
              <w:t>0.7%/yr, weak drift, peak 2019</w:t>
            </w:r>
          </w:p>
        </w:tc>
        <w:tc>
          <w:tcPr>
            <w:tcW w:type="dxa" w:w="2306"/>
          </w:tcPr>
          <w:p>
            <w:pPr>
              <w:spacing w:after="20" w:line="240" w:lineRule="auto"/>
            </w:pPr>
            <w:r/>
            <w:r>
              <w:rPr>
                <w:rFonts w:ascii="Times New Roman" w:hAnsi="Times New Roman" w:eastAsia="Times New Roman" w:cs="Times New Roman"/>
                <w:color w:val="000000"/>
                <w:sz w:val="20"/>
              </w:rPr>
              <w:t>0.5%/yr, no upward trend (slope −695 GWh/yr)</w:t>
            </w:r>
          </w:p>
        </w:tc>
      </w:tr>
      <w:tr>
        <w:tc>
          <w:tcPr>
            <w:tcW w:type="dxa" w:w="818"/>
          </w:tcPr>
          <w:p>
            <w:pPr>
              <w:spacing w:after="20" w:line="240" w:lineRule="auto"/>
            </w:pPr>
            <w:r/>
            <w:r>
              <w:rPr>
                <w:rFonts w:ascii="Times New Roman" w:hAnsi="Times New Roman" w:eastAsia="Times New Roman" w:cs="Times New Roman"/>
                <w:color w:val="000000"/>
                <w:sz w:val="20"/>
              </w:rPr>
              <w:t>Wind</w:t>
            </w:r>
          </w:p>
        </w:tc>
        <w:tc>
          <w:tcPr>
            <w:tcW w:type="dxa" w:w="2306"/>
          </w:tcPr>
          <w:p>
            <w:pPr>
              <w:spacing w:after="20" w:line="240" w:lineRule="auto"/>
            </w:pPr>
            <w:r/>
            <w:r>
              <w:rPr>
                <w:rFonts w:ascii="Times New Roman" w:hAnsi="Times New Roman" w:eastAsia="Times New Roman" w:cs="Times New Roman"/>
                <w:color w:val="000000"/>
                <w:sz w:val="20"/>
              </w:rPr>
              <w:t>23.0%/yr, slowing to 3–4%/yr</w:t>
            </w:r>
          </w:p>
        </w:tc>
        <w:tc>
          <w:tcPr>
            <w:tcW w:type="dxa" w:w="1562"/>
          </w:tcPr>
          <w:p>
            <w:pPr>
              <w:spacing w:after="20" w:line="240" w:lineRule="auto"/>
            </w:pPr>
            <w:r/>
            <w:r>
              <w:rPr>
                <w:rFonts w:ascii="Times New Roman" w:hAnsi="Times New Roman" w:eastAsia="Times New Roman" w:cs="Times New Roman"/>
                <w:color w:val="000000"/>
                <w:sz w:val="20"/>
              </w:rPr>
              <w:t>4.4%/yr (2013–2025)</w:t>
            </w:r>
          </w:p>
        </w:tc>
        <w:tc>
          <w:tcPr>
            <w:tcW w:type="dxa" w:w="2306"/>
          </w:tcPr>
          <w:p>
            <w:pPr>
              <w:spacing w:after="20" w:line="240" w:lineRule="auto"/>
            </w:pPr>
            <w:r/>
            <w:r>
              <w:rPr>
                <w:rFonts w:ascii="Times New Roman" w:hAnsi="Times New Roman" w:eastAsia="Times New Roman" w:cs="Times New Roman"/>
                <w:color w:val="000000"/>
                <w:sz w:val="20"/>
              </w:rPr>
              <w:t>22.2%/yr, rapid and sustained</w:t>
            </w:r>
          </w:p>
        </w:tc>
        <w:tc>
          <w:tcPr>
            <w:tcW w:type="dxa" w:w="2306"/>
          </w:tcPr>
          <w:p>
            <w:pPr>
              <w:spacing w:after="20" w:line="240" w:lineRule="auto"/>
            </w:pPr>
            <w:r/>
            <w:r>
              <w:rPr>
                <w:rFonts w:ascii="Times New Roman" w:hAnsi="Times New Roman" w:eastAsia="Times New Roman" w:cs="Times New Roman"/>
                <w:color w:val="000000"/>
                <w:sz w:val="20"/>
              </w:rPr>
              <w:t>14.0%/yr, slowing to about 4%/yr</w:t>
            </w:r>
          </w:p>
        </w:tc>
      </w:tr>
      <w:tr>
        <w:tc>
          <w:tcPr>
            <w:tcW w:type="dxa" w:w="818"/>
          </w:tcPr>
          <w:p>
            <w:pPr>
              <w:spacing w:after="20" w:line="240" w:lineRule="auto"/>
            </w:pPr>
            <w:r/>
            <w:r>
              <w:rPr>
                <w:rFonts w:ascii="Times New Roman" w:hAnsi="Times New Roman" w:eastAsia="Times New Roman" w:cs="Times New Roman"/>
                <w:color w:val="000000"/>
                <w:sz w:val="20"/>
              </w:rPr>
              <w:t>Solar</w:t>
            </w:r>
          </w:p>
        </w:tc>
        <w:tc>
          <w:tcPr>
            <w:tcW w:type="dxa" w:w="2306"/>
          </w:tcPr>
          <w:p>
            <w:pPr>
              <w:spacing w:after="20" w:line="240" w:lineRule="auto"/>
            </w:pPr>
            <w:r/>
            <w:r>
              <w:rPr>
                <w:rFonts w:ascii="Times New Roman" w:hAnsi="Times New Roman" w:eastAsia="Times New Roman" w:cs="Times New Roman"/>
                <w:color w:val="000000"/>
                <w:sz w:val="20"/>
              </w:rPr>
              <w:t>61.6%/yr (2010–2025)</w:t>
            </w:r>
          </w:p>
        </w:tc>
        <w:tc>
          <w:tcPr>
            <w:tcW w:type="dxa" w:w="1562"/>
          </w:tcPr>
          <w:p>
            <w:pPr>
              <w:spacing w:after="20" w:line="240" w:lineRule="auto"/>
            </w:pPr>
            <w:r/>
            <w:r>
              <w:rPr>
                <w:rFonts w:ascii="Times New Roman" w:hAnsi="Times New Roman" w:eastAsia="Times New Roman" w:cs="Times New Roman"/>
                <w:color w:val="000000"/>
                <w:sz w:val="20"/>
              </w:rPr>
              <w:t>29.2%/yr (2013–2025)</w:t>
            </w:r>
          </w:p>
        </w:tc>
        <w:tc>
          <w:tcPr>
            <w:tcW w:type="dxa" w:w="2306"/>
          </w:tcPr>
          <w:p>
            <w:pPr>
              <w:spacing w:after="20" w:line="240" w:lineRule="auto"/>
            </w:pPr>
            <w:r/>
            <w:r>
              <w:rPr>
                <w:rFonts w:ascii="Times New Roman" w:hAnsi="Times New Roman" w:eastAsia="Times New Roman" w:cs="Times New Roman"/>
                <w:color w:val="000000"/>
                <w:sz w:val="20"/>
              </w:rPr>
              <w:t>61.8%/yr (2012–2025)</w:t>
            </w:r>
          </w:p>
        </w:tc>
        <w:tc>
          <w:tcPr>
            <w:tcW w:type="dxa" w:w="2306"/>
          </w:tcPr>
          <w:p>
            <w:pPr>
              <w:spacing w:after="20" w:line="240" w:lineRule="auto"/>
            </w:pPr>
            <w:r/>
            <w:r>
              <w:rPr>
                <w:rFonts w:ascii="Times New Roman" w:hAnsi="Times New Roman" w:eastAsia="Times New Roman" w:cs="Times New Roman"/>
                <w:color w:val="000000"/>
                <w:sz w:val="20"/>
              </w:rPr>
              <w:t>24.7%/yr (2001–2025), +19% in 2025</w:t>
            </w:r>
          </w:p>
        </w:tc>
      </w:tr>
      <w:tr>
        <w:tc>
          <w:tcPr>
            <w:tcW w:type="dxa" w:w="818"/>
          </w:tcPr>
          <w:p>
            <w:pPr>
              <w:spacing w:after="20" w:line="240" w:lineRule="auto"/>
            </w:pPr>
            <w:r/>
            <w:r>
              <w:rPr>
                <w:rFonts w:ascii="Times New Roman" w:hAnsi="Times New Roman" w:eastAsia="Times New Roman" w:cs="Times New Roman"/>
                <w:color w:val="000000"/>
                <w:sz w:val="20"/>
              </w:rPr>
              <w:t>Biomass</w:t>
            </w:r>
          </w:p>
        </w:tc>
        <w:tc>
          <w:tcPr>
            <w:tcW w:type="dxa" w:w="2306"/>
          </w:tcPr>
          <w:p>
            <w:pPr>
              <w:spacing w:after="20" w:line="240" w:lineRule="auto"/>
            </w:pPr>
            <w:r/>
            <w:r>
              <w:rPr>
                <w:rFonts w:ascii="Times New Roman" w:hAnsi="Times New Roman" w:eastAsia="Times New Roman" w:cs="Times New Roman"/>
                <w:color w:val="000000"/>
                <w:sz w:val="20"/>
              </w:rPr>
              <w:t>0.1%/yr; peak 2017, declining</w:t>
            </w:r>
          </w:p>
        </w:tc>
        <w:tc>
          <w:tcPr>
            <w:tcW w:type="dxa" w:w="1562"/>
          </w:tcPr>
          <w:p>
            <w:pPr>
              <w:spacing w:after="20" w:line="240" w:lineRule="auto"/>
            </w:pPr>
            <w:r/>
            <w:r>
              <w:rPr>
                <w:rFonts w:ascii="Times New Roman" w:hAnsi="Times New Roman" w:eastAsia="Times New Roman" w:cs="Times New Roman"/>
                <w:color w:val="000000"/>
                <w:sz w:val="20"/>
              </w:rPr>
              <w:t>−3.8%/yr, declining</w:t>
            </w:r>
          </w:p>
        </w:tc>
        <w:tc>
          <w:tcPr>
            <w:tcW w:type="dxa" w:w="2306"/>
          </w:tcPr>
          <w:p>
            <w:pPr>
              <w:spacing w:after="20" w:line="240" w:lineRule="auto"/>
            </w:pPr>
            <w:r/>
            <w:r>
              <w:rPr>
                <w:rFonts w:ascii="Times New Roman" w:hAnsi="Times New Roman" w:eastAsia="Times New Roman" w:cs="Times New Roman"/>
                <w:color w:val="000000"/>
                <w:sz w:val="20"/>
              </w:rPr>
              <w:t>0.4%/yr; peak 2014, declining</w:t>
            </w:r>
          </w:p>
        </w:tc>
        <w:tc>
          <w:tcPr>
            <w:tcW w:type="dxa" w:w="2306"/>
          </w:tcPr>
          <w:p>
            <w:pPr>
              <w:spacing w:after="20" w:line="240" w:lineRule="auto"/>
            </w:pPr>
            <w:r/>
            <w:r>
              <w:rPr>
                <w:rFonts w:ascii="Times New Roman" w:hAnsi="Times New Roman" w:eastAsia="Times New Roman" w:cs="Times New Roman"/>
                <w:color w:val="000000"/>
                <w:sz w:val="20"/>
              </w:rPr>
              <w:t>0.1%/yr; peak 2014, declining</w:t>
            </w:r>
          </w:p>
        </w:tc>
      </w:tr>
      <w:tr>
        <w:tc>
          <w:tcPr>
            <w:tcW w:type="dxa" w:w="818"/>
          </w:tcPr>
          <w:p>
            <w:pPr>
              <w:spacing w:after="20" w:line="240" w:lineRule="auto"/>
            </w:pPr>
            <w:r/>
            <w:r>
              <w:rPr>
                <w:rFonts w:ascii="Times New Roman" w:hAnsi="Times New Roman" w:eastAsia="Times New Roman" w:cs="Times New Roman"/>
                <w:color w:val="000000"/>
                <w:sz w:val="20"/>
              </w:rPr>
              <w:t>Geothermal</w:t>
            </w:r>
          </w:p>
        </w:tc>
        <w:tc>
          <w:tcPr>
            <w:tcW w:type="dxa" w:w="2306"/>
          </w:tcPr>
          <w:p>
            <w:pPr>
              <w:spacing w:after="20" w:line="240" w:lineRule="auto"/>
            </w:pPr>
            <w:r/>
            <w:r>
              <w:rPr>
                <w:rFonts w:ascii="Times New Roman" w:hAnsi="Times New Roman" w:eastAsia="Times New Roman" w:cs="Times New Roman"/>
                <w:color w:val="000000"/>
                <w:sz w:val="20"/>
              </w:rPr>
              <w:t>None</w:t>
            </w:r>
          </w:p>
        </w:tc>
        <w:tc>
          <w:tcPr>
            <w:tcW w:type="dxa" w:w="1562"/>
          </w:tcPr>
          <w:p>
            <w:pPr>
              <w:spacing w:after="20" w:line="240" w:lineRule="auto"/>
            </w:pPr>
            <w:r/>
            <w:r>
              <w:rPr>
                <w:rFonts w:ascii="Times New Roman" w:hAnsi="Times New Roman" w:eastAsia="Times New Roman" w:cs="Times New Roman"/>
                <w:color w:val="000000"/>
                <w:sz w:val="20"/>
              </w:rPr>
              <w:t>None</w:t>
            </w:r>
          </w:p>
        </w:tc>
        <w:tc>
          <w:tcPr>
            <w:tcW w:type="dxa" w:w="2306"/>
          </w:tcPr>
          <w:p>
            <w:pPr>
              <w:spacing w:after="20" w:line="240" w:lineRule="auto"/>
            </w:pPr>
            <w:r/>
            <w:r>
              <w:rPr>
                <w:rFonts w:ascii="Times New Roman" w:hAnsi="Times New Roman" w:eastAsia="Times New Roman" w:cs="Times New Roman"/>
                <w:color w:val="000000"/>
                <w:sz w:val="20"/>
              </w:rPr>
              <w:t>None</w:t>
            </w:r>
          </w:p>
        </w:tc>
        <w:tc>
          <w:tcPr>
            <w:tcW w:type="dxa" w:w="2306"/>
          </w:tcPr>
          <w:p>
            <w:pPr>
              <w:spacing w:after="20" w:line="240" w:lineRule="auto"/>
            </w:pPr>
            <w:r/>
            <w:r>
              <w:rPr>
                <w:rFonts w:ascii="Times New Roman" w:hAnsi="Times New Roman" w:eastAsia="Times New Roman" w:cs="Times New Roman"/>
                <w:color w:val="000000"/>
                <w:sz w:val="20"/>
              </w:rPr>
              <w:t>0.5%/yr, slow steady rise</w:t>
            </w:r>
          </w:p>
        </w:tc>
      </w:tr>
    </w:tbl>
    <w:p>
      <w:pPr>
        <w:spacing w:after="40"/>
      </w:pPr>
    </w:p>
    <w:p>
      <w:pPr>
        <w:keepNext/>
        <w:spacing w:before="120"/>
      </w:pPr>
      <w:r>
        <w:rPr>
          <w:rFonts w:ascii="Times New Roman" w:hAnsi="Times New Roman" w:eastAsia="Times New Roman" w:cs="Times New Roman"/>
          <w:b/>
          <w:color w:val="000000"/>
          <w:sz w:val="22"/>
        </w:rPr>
        <w:t>Table 9.6 Generation mix, August 2025 – July 2026</w:t>
      </w:r>
    </w:p>
    <w:tbl>
      <w:tblPr>
        <w:tblStyle w:val="TableGrid"/>
        <w:tblW w:type="auto" w:w="0"/>
        <w:jc w:val="center"/>
        <w:tblLayout w:type="fixed"/>
        <w:tblLook w:firstColumn="1" w:firstRow="1" w:lastColumn="0" w:lastRow="0" w:noHBand="0" w:noVBand="1" w:val="04A0"/>
        <w:tblLayout w:type="fixed"/>
      </w:tblPr>
      <w:tblGrid>
        <w:gridCol w:w="1476"/>
        <w:gridCol w:w="2656"/>
        <w:gridCol w:w="2656"/>
        <w:gridCol w:w="2509"/>
      </w:tblGrid>
      <w:tr>
        <w:trPr>
          <w:tblHeader w:val="true"/>
        </w:trPr>
        <w:tc>
          <w:tcPr>
            <w:tcW w:type="dxa" w:w="1476"/>
            <w:shd w:val="clear" w:color="auto" w:fill="E7E7E7"/>
          </w:tcPr>
          <w:p>
            <w:pPr>
              <w:spacing w:after="20" w:line="240" w:lineRule="auto"/>
            </w:pPr>
            <w:r/>
            <w:r>
              <w:rPr>
                <w:rFonts w:ascii="Times New Roman" w:hAnsi="Times New Roman" w:eastAsia="Times New Roman" w:cs="Times New Roman"/>
                <w:b/>
                <w:color w:val="000000"/>
                <w:sz w:val="20"/>
              </w:rPr>
              <w:t>Region</w:t>
            </w:r>
          </w:p>
        </w:tc>
        <w:tc>
          <w:tcPr>
            <w:tcW w:type="dxa" w:w="2656"/>
            <w:shd w:val="clear" w:color="auto" w:fill="E7E7E7"/>
          </w:tcPr>
          <w:p>
            <w:pPr>
              <w:spacing w:after="20" w:line="240" w:lineRule="auto"/>
            </w:pPr>
            <w:r/>
            <w:r>
              <w:rPr>
                <w:rFonts w:ascii="Times New Roman" w:hAnsi="Times New Roman" w:eastAsia="Times New Roman" w:cs="Times New Roman"/>
                <w:b/>
                <w:color w:val="000000"/>
                <w:sz w:val="20"/>
              </w:rPr>
              <w:t>Largest renewable source (latest 12 months)</w:t>
            </w:r>
          </w:p>
        </w:tc>
        <w:tc>
          <w:tcPr>
            <w:tcW w:type="dxa" w:w="2656"/>
            <w:shd w:val="clear" w:color="auto" w:fill="E7E7E7"/>
          </w:tcPr>
          <w:p>
            <w:pPr>
              <w:spacing w:after="20" w:line="240" w:lineRule="auto"/>
            </w:pPr>
            <w:r/>
            <w:r>
              <w:rPr>
                <w:rFonts w:ascii="Times New Roman" w:hAnsi="Times New Roman" w:eastAsia="Times New Roman" w:cs="Times New Roman"/>
                <w:b/>
                <w:color w:val="000000"/>
                <w:sz w:val="20"/>
              </w:rPr>
              <w:t>Second largest</w:t>
            </w:r>
          </w:p>
        </w:tc>
        <w:tc>
          <w:tcPr>
            <w:tcW w:type="dxa" w:w="2509"/>
            <w:shd w:val="clear" w:color="auto" w:fill="E7E7E7"/>
          </w:tcPr>
          <w:p>
            <w:pPr>
              <w:spacing w:after="20" w:line="240" w:lineRule="auto"/>
            </w:pPr>
            <w:r/>
            <w:r>
              <w:rPr>
                <w:rFonts w:ascii="Times New Roman" w:hAnsi="Times New Roman" w:eastAsia="Times New Roman" w:cs="Times New Roman"/>
                <w:b/>
                <w:color w:val="000000"/>
                <w:sz w:val="20"/>
              </w:rPr>
              <w:t>Third largest</w:t>
            </w:r>
          </w:p>
        </w:tc>
      </w:tr>
      <w:tr>
        <w:tc>
          <w:tcPr>
            <w:tcW w:type="dxa" w:w="1476"/>
          </w:tcPr>
          <w:p>
            <w:pPr>
              <w:spacing w:after="20" w:line="240" w:lineRule="auto"/>
            </w:pPr>
            <w:r/>
            <w:r>
              <w:rPr>
                <w:rFonts w:ascii="Times New Roman" w:hAnsi="Times New Roman" w:eastAsia="Times New Roman" w:cs="Times New Roman"/>
                <w:color w:val="000000"/>
                <w:sz w:val="20"/>
              </w:rPr>
              <w:t>South</w:t>
            </w:r>
          </w:p>
        </w:tc>
        <w:tc>
          <w:tcPr>
            <w:tcW w:type="dxa" w:w="2656"/>
          </w:tcPr>
          <w:p>
            <w:pPr>
              <w:spacing w:after="20" w:line="240" w:lineRule="auto"/>
            </w:pPr>
            <w:r/>
            <w:r>
              <w:rPr>
                <w:rFonts w:ascii="Times New Roman" w:hAnsi="Times New Roman" w:eastAsia="Times New Roman" w:cs="Times New Roman"/>
                <w:color w:val="000000"/>
                <w:sz w:val="20"/>
              </w:rPr>
              <w:t>Wind (180.9 TWh)</w:t>
            </w:r>
          </w:p>
        </w:tc>
        <w:tc>
          <w:tcPr>
            <w:tcW w:type="dxa" w:w="2656"/>
          </w:tcPr>
          <w:p>
            <w:pPr>
              <w:spacing w:after="20" w:line="240" w:lineRule="auto"/>
            </w:pPr>
            <w:r/>
            <w:r>
              <w:rPr>
                <w:rFonts w:ascii="Times New Roman" w:hAnsi="Times New Roman" w:eastAsia="Times New Roman" w:cs="Times New Roman"/>
                <w:color w:val="000000"/>
                <w:sz w:val="20"/>
              </w:rPr>
              <w:t>Solar (157.1 TWh)</w:t>
            </w:r>
          </w:p>
        </w:tc>
        <w:tc>
          <w:tcPr>
            <w:tcW w:type="dxa" w:w="2509"/>
          </w:tcPr>
          <w:p>
            <w:pPr>
              <w:spacing w:after="20" w:line="240" w:lineRule="auto"/>
            </w:pPr>
            <w:r/>
            <w:r>
              <w:rPr>
                <w:rFonts w:ascii="Times New Roman" w:hAnsi="Times New Roman" w:eastAsia="Times New Roman" w:cs="Times New Roman"/>
                <w:color w:val="000000"/>
                <w:sz w:val="20"/>
              </w:rPr>
              <w:t>Hydro (37.2 TWh)</w:t>
            </w:r>
          </w:p>
        </w:tc>
      </w:tr>
      <w:tr>
        <w:tc>
          <w:tcPr>
            <w:tcW w:type="dxa" w:w="1476"/>
          </w:tcPr>
          <w:p>
            <w:pPr>
              <w:spacing w:after="20" w:line="240" w:lineRule="auto"/>
            </w:pPr>
            <w:r/>
            <w:r>
              <w:rPr>
                <w:rFonts w:ascii="Times New Roman" w:hAnsi="Times New Roman" w:eastAsia="Times New Roman" w:cs="Times New Roman"/>
                <w:color w:val="000000"/>
                <w:sz w:val="20"/>
              </w:rPr>
              <w:t>Northeast</w:t>
            </w:r>
          </w:p>
        </w:tc>
        <w:tc>
          <w:tcPr>
            <w:tcW w:type="dxa" w:w="2656"/>
          </w:tcPr>
          <w:p>
            <w:pPr>
              <w:spacing w:after="20" w:line="240" w:lineRule="auto"/>
            </w:pPr>
            <w:r/>
            <w:r>
              <w:rPr>
                <w:rFonts w:ascii="Times New Roman" w:hAnsi="Times New Roman" w:eastAsia="Times New Roman" w:cs="Times New Roman"/>
                <w:color w:val="000000"/>
                <w:sz w:val="20"/>
              </w:rPr>
              <w:t>Hydro (33.8 TWh)</w:t>
            </w:r>
          </w:p>
        </w:tc>
        <w:tc>
          <w:tcPr>
            <w:tcW w:type="dxa" w:w="2656"/>
          </w:tcPr>
          <w:p>
            <w:pPr>
              <w:spacing w:after="20" w:line="240" w:lineRule="auto"/>
            </w:pPr>
            <w:r/>
            <w:r>
              <w:rPr>
                <w:rFonts w:ascii="Times New Roman" w:hAnsi="Times New Roman" w:eastAsia="Times New Roman" w:cs="Times New Roman"/>
                <w:color w:val="000000"/>
                <w:sz w:val="20"/>
              </w:rPr>
              <w:t>Solar (16.1 TWh)</w:t>
            </w:r>
          </w:p>
        </w:tc>
        <w:tc>
          <w:tcPr>
            <w:tcW w:type="dxa" w:w="2509"/>
          </w:tcPr>
          <w:p>
            <w:pPr>
              <w:spacing w:after="20" w:line="240" w:lineRule="auto"/>
            </w:pPr>
            <w:r/>
            <w:r>
              <w:rPr>
                <w:rFonts w:ascii="Times New Roman" w:hAnsi="Times New Roman" w:eastAsia="Times New Roman" w:cs="Times New Roman"/>
                <w:color w:val="000000"/>
                <w:sz w:val="20"/>
              </w:rPr>
              <w:t>Wind (14.9 TWh)</w:t>
            </w:r>
          </w:p>
        </w:tc>
      </w:tr>
      <w:tr>
        <w:tc>
          <w:tcPr>
            <w:tcW w:type="dxa" w:w="1476"/>
          </w:tcPr>
          <w:p>
            <w:pPr>
              <w:spacing w:after="20" w:line="240" w:lineRule="auto"/>
            </w:pPr>
            <w:r/>
            <w:r>
              <w:rPr>
                <w:rFonts w:ascii="Times New Roman" w:hAnsi="Times New Roman" w:eastAsia="Times New Roman" w:cs="Times New Roman"/>
                <w:color w:val="000000"/>
                <w:sz w:val="20"/>
              </w:rPr>
              <w:t>Midwest</w:t>
            </w:r>
          </w:p>
        </w:tc>
        <w:tc>
          <w:tcPr>
            <w:tcW w:type="dxa" w:w="2656"/>
          </w:tcPr>
          <w:p>
            <w:pPr>
              <w:spacing w:after="20" w:line="240" w:lineRule="auto"/>
            </w:pPr>
            <w:r/>
            <w:r>
              <w:rPr>
                <w:rFonts w:ascii="Times New Roman" w:hAnsi="Times New Roman" w:eastAsia="Times New Roman" w:cs="Times New Roman"/>
                <w:color w:val="000000"/>
                <w:sz w:val="20"/>
              </w:rPr>
              <w:t>Wind (188.0 TWh)</w:t>
            </w:r>
          </w:p>
        </w:tc>
        <w:tc>
          <w:tcPr>
            <w:tcW w:type="dxa" w:w="2656"/>
          </w:tcPr>
          <w:p>
            <w:pPr>
              <w:spacing w:after="20" w:line="240" w:lineRule="auto"/>
            </w:pPr>
            <w:r/>
            <w:r>
              <w:rPr>
                <w:rFonts w:ascii="Times New Roman" w:hAnsi="Times New Roman" w:eastAsia="Times New Roman" w:cs="Times New Roman"/>
                <w:color w:val="000000"/>
                <w:sz w:val="20"/>
              </w:rPr>
              <w:t>Solar (44.9 TWh)</w:t>
            </w:r>
          </w:p>
        </w:tc>
        <w:tc>
          <w:tcPr>
            <w:tcW w:type="dxa" w:w="2509"/>
          </w:tcPr>
          <w:p>
            <w:pPr>
              <w:spacing w:after="20" w:line="240" w:lineRule="auto"/>
            </w:pPr>
            <w:r/>
            <w:r>
              <w:rPr>
                <w:rFonts w:ascii="Times New Roman" w:hAnsi="Times New Roman" w:eastAsia="Times New Roman" w:cs="Times New Roman"/>
                <w:color w:val="000000"/>
                <w:sz w:val="20"/>
              </w:rPr>
              <w:t>Hydro (18.0 TWh)</w:t>
            </w:r>
          </w:p>
        </w:tc>
      </w:tr>
      <w:tr>
        <w:tc>
          <w:tcPr>
            <w:tcW w:type="dxa" w:w="1476"/>
          </w:tcPr>
          <w:p>
            <w:pPr>
              <w:spacing w:after="20" w:line="240" w:lineRule="auto"/>
            </w:pPr>
            <w:r/>
            <w:r>
              <w:rPr>
                <w:rFonts w:ascii="Times New Roman" w:hAnsi="Times New Roman" w:eastAsia="Times New Roman" w:cs="Times New Roman"/>
                <w:color w:val="000000"/>
                <w:sz w:val="20"/>
              </w:rPr>
              <w:t>West</w:t>
            </w:r>
          </w:p>
        </w:tc>
        <w:tc>
          <w:tcPr>
            <w:tcW w:type="dxa" w:w="2656"/>
          </w:tcPr>
          <w:p>
            <w:pPr>
              <w:spacing w:after="20" w:line="240" w:lineRule="auto"/>
            </w:pPr>
            <w:r/>
            <w:r>
              <w:rPr>
                <w:rFonts w:ascii="Times New Roman" w:hAnsi="Times New Roman" w:eastAsia="Times New Roman" w:cs="Times New Roman"/>
                <w:color w:val="000000"/>
                <w:sz w:val="20"/>
              </w:rPr>
              <w:t>Hydro (171.6 TWh)</w:t>
            </w:r>
          </w:p>
        </w:tc>
        <w:tc>
          <w:tcPr>
            <w:tcW w:type="dxa" w:w="2656"/>
          </w:tcPr>
          <w:p>
            <w:pPr>
              <w:spacing w:after="20" w:line="240" w:lineRule="auto"/>
            </w:pPr>
            <w:r/>
            <w:r>
              <w:rPr>
                <w:rFonts w:ascii="Times New Roman" w:hAnsi="Times New Roman" w:eastAsia="Times New Roman" w:cs="Times New Roman"/>
                <w:color w:val="000000"/>
                <w:sz w:val="20"/>
              </w:rPr>
              <w:t>Solar (116.6 TWh)</w:t>
            </w:r>
          </w:p>
        </w:tc>
        <w:tc>
          <w:tcPr>
            <w:tcW w:type="dxa" w:w="2509"/>
          </w:tcPr>
          <w:p>
            <w:pPr>
              <w:spacing w:after="20" w:line="240" w:lineRule="auto"/>
            </w:pPr>
            <w:r/>
            <w:r>
              <w:rPr>
                <w:rFonts w:ascii="Times New Roman" w:hAnsi="Times New Roman" w:eastAsia="Times New Roman" w:cs="Times New Roman"/>
                <w:color w:val="000000"/>
                <w:sz w:val="20"/>
              </w:rPr>
              <w:t>Wind (97.4 TWh)</w:t>
            </w:r>
          </w:p>
        </w:tc>
      </w:tr>
    </w:tbl>
    <w:p>
      <w:pPr>
        <w:spacing w:after="40"/>
      </w:pPr>
    </w:p>
    <w:p>
      <w:pPr>
        <w:pStyle w:val="ListBullet"/>
      </w:pPr>
      <w:r>
        <w:rPr>
          <w:rFonts w:ascii="Times New Roman" w:hAnsi="Times New Roman" w:eastAsia="Times New Roman" w:cs="Times New Roman"/>
          <w:b/>
          <w:color w:val="000000"/>
        </w:rPr>
        <w:t>Solar is the fastest-growing source in every region</w:t>
      </w:r>
      <w:r>
        <w:rPr>
          <w:rFonts w:ascii="Times New Roman" w:hAnsi="Times New Roman" w:eastAsia="Times New Roman" w:cs="Times New Roman"/>
          <w:color w:val="000000"/>
        </w:rPr>
        <w:t>; in the South it is about to overtake wind, and in the Northeast and West it has already overtaken wind.</w:t>
      </w:r>
    </w:p>
    <w:p>
      <w:pPr>
        <w:pStyle w:val="ListBullet"/>
      </w:pPr>
      <w:r>
        <w:rPr>
          <w:rFonts w:ascii="Times New Roman" w:hAnsi="Times New Roman" w:eastAsia="Times New Roman" w:cs="Times New Roman"/>
          <w:b/>
          <w:color w:val="000000"/>
        </w:rPr>
        <w:t>Wind growth is slowing</w:t>
      </w:r>
      <w:r>
        <w:rPr>
          <w:rFonts w:ascii="Times New Roman" w:hAnsi="Times New Roman" w:eastAsia="Times New Roman" w:cs="Times New Roman"/>
          <w:color w:val="000000"/>
        </w:rPr>
        <w:t xml:space="preserve"> in the South and West; it remains the backbone of Midwestern renewable output (about 73% of the modelled total).</w:t>
      </w:r>
    </w:p>
    <w:p>
      <w:pPr>
        <w:pStyle w:val="ListBullet"/>
      </w:pPr>
      <w:r>
        <w:rPr>
          <w:rFonts w:ascii="Times New Roman" w:hAnsi="Times New Roman" w:eastAsia="Times New Roman" w:cs="Times New Roman"/>
          <w:b/>
          <w:color w:val="000000"/>
        </w:rPr>
        <w:t>Hydro has no meaningful long-term trend anywhere</w:t>
      </w:r>
      <w:r>
        <w:rPr>
          <w:rFonts w:ascii="Times New Roman" w:hAnsi="Times New Roman" w:eastAsia="Times New Roman" w:cs="Times New Roman"/>
          <w:color w:val="000000"/>
        </w:rPr>
        <w:t>; its level is set by wet and dry years.</w:t>
      </w:r>
    </w:p>
    <w:p>
      <w:pPr>
        <w:pStyle w:val="ListBullet"/>
      </w:pPr>
      <w:r>
        <w:rPr>
          <w:rFonts w:ascii="Times New Roman" w:hAnsi="Times New Roman" w:eastAsia="Times New Roman" w:cs="Times New Roman"/>
          <w:b/>
          <w:color w:val="000000"/>
        </w:rPr>
        <w:t>Biomass is declining in every region</w:t>
      </w:r>
      <w:r>
        <w:rPr>
          <w:rFonts w:ascii="Times New Roman" w:hAnsi="Times New Roman" w:eastAsia="Times New Roman" w:cs="Times New Roman"/>
          <w:color w:val="000000"/>
        </w:rPr>
        <w:t xml:space="preserve"> after peaking in 2014–2017.</w:t>
      </w:r>
    </w:p>
    <w:p>
      <w:pPr>
        <w:pStyle w:val="Heading2"/>
      </w:pPr>
      <w:r>
        <w:rPr>
          <w:rFonts w:ascii="Times New Roman" w:hAnsi="Times New Roman" w:eastAsia="Times New Roman" w:cs="Times New Roman"/>
          <w:color w:val="000000"/>
        </w:rPr>
        <w:t>9.5 Seasonality strength and timing</w:t>
      </w:r>
    </w:p>
    <w:p>
      <w:pPr>
        <w:keepNext/>
        <w:spacing w:before="120"/>
      </w:pPr>
      <w:r>
        <w:rPr>
          <w:rFonts w:ascii="Times New Roman" w:hAnsi="Times New Roman" w:eastAsia="Times New Roman" w:cs="Times New Roman"/>
          <w:b/>
          <w:color w:val="000000"/>
          <w:sz w:val="22"/>
        </w:rPr>
        <w:t>Table 9.7 Seasonal peak / trough (deviation from trend) and seasonal strength in brackets</w:t>
      </w:r>
    </w:p>
    <w:tbl>
      <w:tblPr>
        <w:tblStyle w:val="TableGrid"/>
        <w:tblW w:type="auto" w:w="0"/>
        <w:jc w:val="center"/>
        <w:tblLayout w:type="fixed"/>
        <w:tblLook w:firstColumn="1" w:firstRow="1" w:lastColumn="0" w:lastRow="0" w:noHBand="0" w:noVBand="1" w:val="04A0"/>
        <w:tblLayout w:type="fixed"/>
      </w:tblPr>
      <w:tblGrid>
        <w:gridCol w:w="845"/>
        <w:gridCol w:w="2075"/>
        <w:gridCol w:w="2228"/>
        <w:gridCol w:w="2075"/>
        <w:gridCol w:w="2075"/>
      </w:tblGrid>
      <w:tr>
        <w:trPr>
          <w:tblHeader w:val="true"/>
        </w:trPr>
        <w:tc>
          <w:tcPr>
            <w:tcW w:type="dxa" w:w="845"/>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2075"/>
            <w:shd w:val="clear" w:color="auto" w:fill="E7E7E7"/>
          </w:tcPr>
          <w:p>
            <w:pPr>
              <w:spacing w:after="20" w:line="240" w:lineRule="auto"/>
            </w:pPr>
            <w:r/>
            <w:r>
              <w:rPr>
                <w:rFonts w:ascii="Times New Roman" w:hAnsi="Times New Roman" w:eastAsia="Times New Roman" w:cs="Times New Roman"/>
                <w:b/>
                <w:color w:val="000000"/>
                <w:sz w:val="20"/>
              </w:rPr>
              <w:t>South</w:t>
            </w:r>
          </w:p>
        </w:tc>
        <w:tc>
          <w:tcPr>
            <w:tcW w:type="dxa" w:w="2228"/>
            <w:shd w:val="clear" w:color="auto" w:fill="E7E7E7"/>
          </w:tcPr>
          <w:p>
            <w:pPr>
              <w:spacing w:after="20" w:line="240" w:lineRule="auto"/>
            </w:pPr>
            <w:r/>
            <w:r>
              <w:rPr>
                <w:rFonts w:ascii="Times New Roman" w:hAnsi="Times New Roman" w:eastAsia="Times New Roman" w:cs="Times New Roman"/>
                <w:b/>
                <w:color w:val="000000"/>
                <w:sz w:val="20"/>
              </w:rPr>
              <w:t>Northeast</w:t>
            </w:r>
          </w:p>
        </w:tc>
        <w:tc>
          <w:tcPr>
            <w:tcW w:type="dxa" w:w="2075"/>
            <w:shd w:val="clear" w:color="auto" w:fill="E7E7E7"/>
          </w:tcPr>
          <w:p>
            <w:pPr>
              <w:spacing w:after="20" w:line="240" w:lineRule="auto"/>
            </w:pPr>
            <w:r/>
            <w:r>
              <w:rPr>
                <w:rFonts w:ascii="Times New Roman" w:hAnsi="Times New Roman" w:eastAsia="Times New Roman" w:cs="Times New Roman"/>
                <w:b/>
                <w:color w:val="000000"/>
                <w:sz w:val="20"/>
              </w:rPr>
              <w:t>Midwest</w:t>
            </w:r>
          </w:p>
        </w:tc>
        <w:tc>
          <w:tcPr>
            <w:tcW w:type="dxa" w:w="2075"/>
            <w:shd w:val="clear" w:color="auto" w:fill="E7E7E7"/>
          </w:tcPr>
          <w:p>
            <w:pPr>
              <w:spacing w:after="20" w:line="240" w:lineRule="auto"/>
            </w:pPr>
            <w:r/>
            <w:r>
              <w:rPr>
                <w:rFonts w:ascii="Times New Roman" w:hAnsi="Times New Roman" w:eastAsia="Times New Roman" w:cs="Times New Roman"/>
                <w:b/>
                <w:color w:val="000000"/>
                <w:sz w:val="20"/>
              </w:rPr>
              <w:t>West</w:t>
            </w:r>
          </w:p>
        </w:tc>
      </w:tr>
      <w:tr>
        <w:tc>
          <w:tcPr>
            <w:tcW w:type="dxa" w:w="845"/>
          </w:tcPr>
          <w:p>
            <w:pPr>
              <w:spacing w:after="20" w:line="240" w:lineRule="auto"/>
            </w:pPr>
            <w:r/>
            <w:r>
              <w:rPr>
                <w:rFonts w:ascii="Times New Roman" w:hAnsi="Times New Roman" w:eastAsia="Times New Roman" w:cs="Times New Roman"/>
                <w:color w:val="000000"/>
                <w:sz w:val="20"/>
              </w:rPr>
              <w:t>Hydro</w:t>
            </w:r>
          </w:p>
        </w:tc>
        <w:tc>
          <w:tcPr>
            <w:tcW w:type="dxa" w:w="2075"/>
          </w:tcPr>
          <w:p>
            <w:pPr>
              <w:spacing w:after="20" w:line="240" w:lineRule="auto"/>
            </w:pPr>
            <w:r/>
            <w:r>
              <w:rPr>
                <w:rFonts w:ascii="Times New Roman" w:hAnsi="Times New Roman" w:eastAsia="Times New Roman" w:cs="Times New Roman"/>
                <w:color w:val="000000"/>
                <w:sz w:val="20"/>
              </w:rPr>
              <w:t>Jan +25% / Sep −23% (0.41)</w:t>
            </w:r>
          </w:p>
        </w:tc>
        <w:tc>
          <w:tcPr>
            <w:tcW w:type="dxa" w:w="2228"/>
          </w:tcPr>
          <w:p>
            <w:pPr>
              <w:spacing w:after="20" w:line="240" w:lineRule="auto"/>
            </w:pPr>
            <w:r/>
            <w:r>
              <w:rPr>
                <w:rFonts w:ascii="Times New Roman" w:hAnsi="Times New Roman" w:eastAsia="Times New Roman" w:cs="Times New Roman"/>
                <w:color w:val="000000"/>
                <w:sz w:val="20"/>
              </w:rPr>
              <w:t>Mar / Sep, ratio 1.29 (0.64)</w:t>
            </w:r>
          </w:p>
        </w:tc>
        <w:tc>
          <w:tcPr>
            <w:tcW w:type="dxa" w:w="2075"/>
          </w:tcPr>
          <w:p>
            <w:pPr>
              <w:spacing w:after="20" w:line="240" w:lineRule="auto"/>
            </w:pPr>
            <w:r/>
            <w:r>
              <w:rPr>
                <w:rFonts w:ascii="Times New Roman" w:hAnsi="Times New Roman" w:eastAsia="Times New Roman" w:cs="Times New Roman"/>
                <w:color w:val="000000"/>
                <w:sz w:val="20"/>
              </w:rPr>
              <w:t>May +14% / Feb −15% (0.37)</w:t>
            </w:r>
          </w:p>
        </w:tc>
        <w:tc>
          <w:tcPr>
            <w:tcW w:type="dxa" w:w="2075"/>
          </w:tcPr>
          <w:p>
            <w:pPr>
              <w:spacing w:after="20" w:line="240" w:lineRule="auto"/>
            </w:pPr>
            <w:r/>
            <w:r>
              <w:rPr>
                <w:rFonts w:ascii="Times New Roman" w:hAnsi="Times New Roman" w:eastAsia="Times New Roman" w:cs="Times New Roman"/>
                <w:color w:val="000000"/>
                <w:sz w:val="20"/>
              </w:rPr>
              <w:t>May +29% / Oct −27% (0.77)</w:t>
            </w:r>
          </w:p>
        </w:tc>
      </w:tr>
      <w:tr>
        <w:tc>
          <w:tcPr>
            <w:tcW w:type="dxa" w:w="845"/>
          </w:tcPr>
          <w:p>
            <w:pPr>
              <w:spacing w:after="20" w:line="240" w:lineRule="auto"/>
            </w:pPr>
            <w:r/>
            <w:r>
              <w:rPr>
                <w:rFonts w:ascii="Times New Roman" w:hAnsi="Times New Roman" w:eastAsia="Times New Roman" w:cs="Times New Roman"/>
                <w:color w:val="000000"/>
                <w:sz w:val="20"/>
              </w:rPr>
              <w:t>Wind</w:t>
            </w:r>
          </w:p>
        </w:tc>
        <w:tc>
          <w:tcPr>
            <w:tcW w:type="dxa" w:w="2075"/>
          </w:tcPr>
          <w:p>
            <w:pPr>
              <w:spacing w:after="20" w:line="240" w:lineRule="auto"/>
            </w:pPr>
            <w:r/>
            <w:r>
              <w:rPr>
                <w:rFonts w:ascii="Times New Roman" w:hAnsi="Times New Roman" w:eastAsia="Times New Roman" w:cs="Times New Roman"/>
                <w:color w:val="000000"/>
                <w:sz w:val="20"/>
              </w:rPr>
              <w:t>Apr +23% / Sep −24% (0.55)</w:t>
            </w:r>
          </w:p>
        </w:tc>
        <w:tc>
          <w:tcPr>
            <w:tcW w:type="dxa" w:w="2228"/>
          </w:tcPr>
          <w:p>
            <w:pPr>
              <w:spacing w:after="20" w:line="240" w:lineRule="auto"/>
            </w:pPr>
            <w:r/>
            <w:r>
              <w:rPr>
                <w:rFonts w:ascii="Times New Roman" w:hAnsi="Times New Roman" w:eastAsia="Times New Roman" w:cs="Times New Roman"/>
                <w:color w:val="000000"/>
                <w:sz w:val="20"/>
              </w:rPr>
              <w:t>Mar / Aug, ratio 2.25 (0.91)</w:t>
            </w:r>
          </w:p>
        </w:tc>
        <w:tc>
          <w:tcPr>
            <w:tcW w:type="dxa" w:w="2075"/>
          </w:tcPr>
          <w:p>
            <w:pPr>
              <w:spacing w:after="20" w:line="240" w:lineRule="auto"/>
            </w:pPr>
            <w:r/>
            <w:r>
              <w:rPr>
                <w:rFonts w:ascii="Times New Roman" w:hAnsi="Times New Roman" w:eastAsia="Times New Roman" w:cs="Times New Roman"/>
                <w:color w:val="000000"/>
                <w:sz w:val="20"/>
              </w:rPr>
              <w:t>Apr +25% / Aug −38% (0.83)</w:t>
            </w:r>
          </w:p>
        </w:tc>
        <w:tc>
          <w:tcPr>
            <w:tcW w:type="dxa" w:w="2075"/>
          </w:tcPr>
          <w:p>
            <w:pPr>
              <w:spacing w:after="20" w:line="240" w:lineRule="auto"/>
            </w:pPr>
            <w:r/>
            <w:r>
              <w:rPr>
                <w:rFonts w:ascii="Times New Roman" w:hAnsi="Times New Roman" w:eastAsia="Times New Roman" w:cs="Times New Roman"/>
                <w:color w:val="000000"/>
                <w:sz w:val="20"/>
              </w:rPr>
              <w:t>May +22% / Nov −15% (0.52)</w:t>
            </w:r>
          </w:p>
        </w:tc>
      </w:tr>
      <w:tr>
        <w:tc>
          <w:tcPr>
            <w:tcW w:type="dxa" w:w="845"/>
          </w:tcPr>
          <w:p>
            <w:pPr>
              <w:spacing w:after="20" w:line="240" w:lineRule="auto"/>
            </w:pPr>
            <w:r/>
            <w:r>
              <w:rPr>
                <w:rFonts w:ascii="Times New Roman" w:hAnsi="Times New Roman" w:eastAsia="Times New Roman" w:cs="Times New Roman"/>
                <w:color w:val="000000"/>
                <w:sz w:val="20"/>
              </w:rPr>
              <w:t>Solar</w:t>
            </w:r>
          </w:p>
        </w:tc>
        <w:tc>
          <w:tcPr>
            <w:tcW w:type="dxa" w:w="2075"/>
          </w:tcPr>
          <w:p>
            <w:pPr>
              <w:spacing w:after="20" w:line="240" w:lineRule="auto"/>
            </w:pPr>
            <w:r/>
            <w:r>
              <w:rPr>
                <w:rFonts w:ascii="Times New Roman" w:hAnsi="Times New Roman" w:eastAsia="Times New Roman" w:cs="Times New Roman"/>
                <w:color w:val="000000"/>
                <w:sz w:val="20"/>
              </w:rPr>
              <w:t>May +24% / Dec −28% (0.71)</w:t>
            </w:r>
          </w:p>
        </w:tc>
        <w:tc>
          <w:tcPr>
            <w:tcW w:type="dxa" w:w="2228"/>
          </w:tcPr>
          <w:p>
            <w:pPr>
              <w:spacing w:after="20" w:line="240" w:lineRule="auto"/>
            </w:pPr>
            <w:r/>
            <w:r>
              <w:rPr>
                <w:rFonts w:ascii="Times New Roman" w:hAnsi="Times New Roman" w:eastAsia="Times New Roman" w:cs="Times New Roman"/>
                <w:color w:val="000000"/>
                <w:sz w:val="20"/>
              </w:rPr>
              <w:t>Jul / Dec, ratio 2.59 (0.90)</w:t>
            </w:r>
          </w:p>
        </w:tc>
        <w:tc>
          <w:tcPr>
            <w:tcW w:type="dxa" w:w="2075"/>
          </w:tcPr>
          <w:p>
            <w:pPr>
              <w:spacing w:after="20" w:line="240" w:lineRule="auto"/>
            </w:pPr>
            <w:r/>
            <w:r>
              <w:rPr>
                <w:rFonts w:ascii="Times New Roman" w:hAnsi="Times New Roman" w:eastAsia="Times New Roman" w:cs="Times New Roman"/>
                <w:color w:val="000000"/>
                <w:sz w:val="20"/>
              </w:rPr>
              <w:t>Jul +43% / Jan −48% (0.80)</w:t>
            </w:r>
          </w:p>
        </w:tc>
        <w:tc>
          <w:tcPr>
            <w:tcW w:type="dxa" w:w="2075"/>
          </w:tcPr>
          <w:p>
            <w:pPr>
              <w:spacing w:after="20" w:line="240" w:lineRule="auto"/>
            </w:pPr>
            <w:r/>
            <w:r>
              <w:rPr>
                <w:rFonts w:ascii="Times New Roman" w:hAnsi="Times New Roman" w:eastAsia="Times New Roman" w:cs="Times New Roman"/>
                <w:color w:val="000000"/>
                <w:sz w:val="20"/>
              </w:rPr>
              <w:t>Jun +54% / Dec −58% (0.67)</w:t>
            </w:r>
          </w:p>
        </w:tc>
      </w:tr>
      <w:tr>
        <w:tc>
          <w:tcPr>
            <w:tcW w:type="dxa" w:w="845"/>
          </w:tcPr>
          <w:p>
            <w:pPr>
              <w:spacing w:after="20" w:line="240" w:lineRule="auto"/>
            </w:pPr>
            <w:r/>
            <w:r>
              <w:rPr>
                <w:rFonts w:ascii="Times New Roman" w:hAnsi="Times New Roman" w:eastAsia="Times New Roman" w:cs="Times New Roman"/>
                <w:color w:val="000000"/>
                <w:sz w:val="20"/>
              </w:rPr>
              <w:t>Biomass</w:t>
            </w:r>
          </w:p>
        </w:tc>
        <w:tc>
          <w:tcPr>
            <w:tcW w:type="dxa" w:w="2075"/>
          </w:tcPr>
          <w:p>
            <w:pPr>
              <w:spacing w:after="20" w:line="240" w:lineRule="auto"/>
            </w:pPr>
            <w:r/>
            <w:r>
              <w:rPr>
                <w:rFonts w:ascii="Times New Roman" w:hAnsi="Times New Roman" w:eastAsia="Times New Roman" w:cs="Times New Roman"/>
                <w:color w:val="000000"/>
                <w:sz w:val="20"/>
              </w:rPr>
              <w:t>Jul +6% / Feb −6% (0.65)</w:t>
            </w:r>
          </w:p>
        </w:tc>
        <w:tc>
          <w:tcPr>
            <w:tcW w:type="dxa" w:w="2228"/>
          </w:tcPr>
          <w:p>
            <w:pPr>
              <w:spacing w:after="20" w:line="240" w:lineRule="auto"/>
            </w:pPr>
            <w:r/>
            <w:r>
              <w:rPr>
                <w:rFonts w:ascii="Times New Roman" w:hAnsi="Times New Roman" w:eastAsia="Times New Roman" w:cs="Times New Roman"/>
                <w:color w:val="000000"/>
                <w:sz w:val="20"/>
              </w:rPr>
              <w:t>Dec / Apr, ratio 1.21 (0.82)</w:t>
            </w:r>
          </w:p>
        </w:tc>
        <w:tc>
          <w:tcPr>
            <w:tcW w:type="dxa" w:w="2075"/>
          </w:tcPr>
          <w:p>
            <w:pPr>
              <w:spacing w:after="20" w:line="240" w:lineRule="auto"/>
            </w:pPr>
            <w:r/>
            <w:r>
              <w:rPr>
                <w:rFonts w:ascii="Times New Roman" w:hAnsi="Times New Roman" w:eastAsia="Times New Roman" w:cs="Times New Roman"/>
                <w:color w:val="000000"/>
                <w:sz w:val="20"/>
              </w:rPr>
              <w:t>Aug +5% / Apr −6% (0.46)</w:t>
            </w:r>
          </w:p>
        </w:tc>
        <w:tc>
          <w:tcPr>
            <w:tcW w:type="dxa" w:w="2075"/>
          </w:tcPr>
          <w:p>
            <w:pPr>
              <w:spacing w:after="20" w:line="240" w:lineRule="auto"/>
            </w:pPr>
            <w:r/>
            <w:r>
              <w:rPr>
                <w:rFonts w:ascii="Times New Roman" w:hAnsi="Times New Roman" w:eastAsia="Times New Roman" w:cs="Times New Roman"/>
                <w:color w:val="000000"/>
                <w:sz w:val="20"/>
              </w:rPr>
              <w:t>Aug +8% / Apr −10% (0.68)</w:t>
            </w:r>
          </w:p>
        </w:tc>
      </w:tr>
      <w:tr>
        <w:tc>
          <w:tcPr>
            <w:tcW w:type="dxa" w:w="845"/>
          </w:tcPr>
          <w:p>
            <w:pPr>
              <w:spacing w:after="20" w:line="240" w:lineRule="auto"/>
            </w:pPr>
            <w:r/>
            <w:r>
              <w:rPr>
                <w:rFonts w:ascii="Times New Roman" w:hAnsi="Times New Roman" w:eastAsia="Times New Roman" w:cs="Times New Roman"/>
                <w:color w:val="000000"/>
                <w:sz w:val="20"/>
              </w:rPr>
              <w:t>Geothermal</w:t>
            </w:r>
          </w:p>
        </w:tc>
        <w:tc>
          <w:tcPr>
            <w:tcW w:type="dxa" w:w="2075"/>
          </w:tcPr>
          <w:p>
            <w:pPr>
              <w:spacing w:after="20" w:line="240" w:lineRule="auto"/>
            </w:pPr>
            <w:r/>
            <w:r>
              <w:rPr>
                <w:rFonts w:ascii="Times New Roman" w:hAnsi="Times New Roman" w:eastAsia="Times New Roman" w:cs="Times New Roman"/>
                <w:color w:val="000000"/>
                <w:sz w:val="20"/>
              </w:rPr>
              <w:t>—</w:t>
            </w:r>
          </w:p>
        </w:tc>
        <w:tc>
          <w:tcPr>
            <w:tcW w:type="dxa" w:w="2228"/>
          </w:tcPr>
          <w:p>
            <w:pPr>
              <w:spacing w:after="20" w:line="240" w:lineRule="auto"/>
            </w:pPr>
            <w:r/>
            <w:r>
              <w:rPr>
                <w:rFonts w:ascii="Times New Roman" w:hAnsi="Times New Roman" w:eastAsia="Times New Roman" w:cs="Times New Roman"/>
                <w:color w:val="000000"/>
                <w:sz w:val="20"/>
              </w:rPr>
              <w:t>—</w:t>
            </w:r>
          </w:p>
        </w:tc>
        <w:tc>
          <w:tcPr>
            <w:tcW w:type="dxa" w:w="2075"/>
          </w:tcPr>
          <w:p>
            <w:pPr>
              <w:spacing w:after="20" w:line="240" w:lineRule="auto"/>
            </w:pPr>
            <w:r/>
            <w:r>
              <w:rPr>
                <w:rFonts w:ascii="Times New Roman" w:hAnsi="Times New Roman" w:eastAsia="Times New Roman" w:cs="Times New Roman"/>
                <w:color w:val="000000"/>
                <w:sz w:val="20"/>
              </w:rPr>
              <w:t>—</w:t>
            </w:r>
          </w:p>
        </w:tc>
        <w:tc>
          <w:tcPr>
            <w:tcW w:type="dxa" w:w="2075"/>
          </w:tcPr>
          <w:p>
            <w:pPr>
              <w:spacing w:after="20" w:line="240" w:lineRule="auto"/>
            </w:pPr>
            <w:r/>
            <w:r>
              <w:rPr>
                <w:rFonts w:ascii="Times New Roman" w:hAnsi="Times New Roman" w:eastAsia="Times New Roman" w:cs="Times New Roman"/>
                <w:color w:val="000000"/>
                <w:sz w:val="20"/>
              </w:rPr>
              <w:t>Dec +5% / Feb −6% (0.39)</w:t>
            </w:r>
          </w:p>
        </w:tc>
      </w:tr>
    </w:tbl>
    <w:p>
      <w:pPr>
        <w:spacing w:after="40"/>
      </w:pPr>
    </w:p>
    <w:p>
      <w:pPr>
        <w:jc w:val="both"/>
      </w:pPr>
      <w:r>
        <w:rPr>
          <w:rFonts w:ascii="Times New Roman" w:hAnsi="Times New Roman" w:eastAsia="Times New Roman" w:cs="Times New Roman"/>
          <w:color w:val="000000"/>
        </w:rPr>
        <w:t>Seasonal strength comes from classical decomposition in the South, Midwest and West and from STL on log values (2013–2026) in the Northeast; the Northeast reports the peak-to-trough ratio instead of percentage deviations.</w:t>
      </w:r>
    </w:p>
    <w:p>
      <w:pPr>
        <w:pStyle w:val="ListBullet"/>
      </w:pPr>
      <w:r>
        <w:rPr>
          <w:rFonts w:ascii="Times New Roman" w:hAnsi="Times New Roman" w:eastAsia="Times New Roman" w:cs="Times New Roman"/>
          <w:b/>
          <w:color w:val="000000"/>
        </w:rPr>
        <w:t>Solar has the largest seasonal swing everywhere</w:t>
      </w:r>
      <w:r>
        <w:rPr>
          <w:rFonts w:ascii="Times New Roman" w:hAnsi="Times New Roman" w:eastAsia="Times New Roman" w:cs="Times New Roman"/>
          <w:color w:val="000000"/>
        </w:rPr>
        <w:t>, and it grows with latitude: ±25% in the South, ±45% in the Midwest, up to ±55% in the West.</w:t>
      </w:r>
    </w:p>
    <w:p>
      <w:pPr>
        <w:pStyle w:val="ListBullet"/>
      </w:pPr>
      <w:r>
        <w:rPr>
          <w:rFonts w:ascii="Times New Roman" w:hAnsi="Times New Roman" w:eastAsia="Times New Roman" w:cs="Times New Roman"/>
          <w:b/>
          <w:color w:val="000000"/>
        </w:rPr>
        <w:t>Hydro timing follows the water source:</w:t>
      </w:r>
      <w:r>
        <w:rPr>
          <w:rFonts w:ascii="Times New Roman" w:hAnsi="Times New Roman" w:eastAsia="Times New Roman" w:cs="Times New Roman"/>
          <w:color w:val="000000"/>
        </w:rPr>
        <w:t xml:space="preserve"> a winter rainfall peak in the South, a March snowmelt peak in the Northeast, and a May–June snowmelt peak in the Midwest and West.</w:t>
      </w:r>
    </w:p>
    <w:p>
      <w:pPr>
        <w:pStyle w:val="ListBullet"/>
      </w:pPr>
      <w:r>
        <w:rPr>
          <w:rFonts w:ascii="Times New Roman" w:hAnsi="Times New Roman" w:eastAsia="Times New Roman" w:cs="Times New Roman"/>
          <w:b/>
          <w:color w:val="000000"/>
        </w:rPr>
        <w:t>Wind peaks in spring everywhere</w:t>
      </w:r>
      <w:r>
        <w:rPr>
          <w:rFonts w:ascii="Times New Roman" w:hAnsi="Times New Roman" w:eastAsia="Times New Roman" w:cs="Times New Roman"/>
          <w:color w:val="000000"/>
        </w:rPr>
        <w:t xml:space="preserve"> (March–May) and is weakest in late summer or autumn.</w:t>
      </w:r>
    </w:p>
    <w:p>
      <w:pPr>
        <w:pStyle w:val="ListBullet"/>
      </w:pPr>
      <w:r>
        <w:rPr>
          <w:rFonts w:ascii="Times New Roman" w:hAnsi="Times New Roman" w:eastAsia="Times New Roman" w:cs="Times New Roman"/>
          <w:b/>
          <w:color w:val="000000"/>
        </w:rPr>
        <w:t>Complementarity differs by region:</w:t>
      </w:r>
      <w:r>
        <w:rPr>
          <w:rFonts w:ascii="Times New Roman" w:hAnsi="Times New Roman" w:eastAsia="Times New Roman" w:cs="Times New Roman"/>
          <w:color w:val="000000"/>
        </w:rPr>
        <w:t xml:space="preserve"> in the South and Northeast the seasonal peaks are spread across the year (hydro in winter/spring, wind in spring, solar in summer), which smooths total output; in the West, hydro, wind and solar all peak in May–June, concentrating output in late spring.</w:t>
      </w:r>
    </w:p>
    <w:p>
      <w:pPr>
        <w:pStyle w:val="Heading2"/>
      </w:pPr>
      <w:r>
        <w:rPr>
          <w:rFonts w:ascii="Times New Roman" w:hAnsi="Times New Roman" w:eastAsia="Times New Roman" w:cs="Times New Roman"/>
          <w:color w:val="000000"/>
        </w:rPr>
        <w:t>9.6 Stationarity and model structure</w:t>
      </w:r>
    </w:p>
    <w:p>
      <w:pPr>
        <w:keepNext/>
        <w:spacing w:before="120"/>
      </w:pPr>
      <w:r>
        <w:rPr>
          <w:rFonts w:ascii="Times New Roman" w:hAnsi="Times New Roman" w:eastAsia="Times New Roman" w:cs="Times New Roman"/>
          <w:b/>
          <w:color w:val="000000"/>
          <w:sz w:val="22"/>
        </w:rPr>
        <w:t>Table 9.8 Transformation, differencing and AIC-selected SARIMA order by region</w:t>
      </w:r>
    </w:p>
    <w:tbl>
      <w:tblPr>
        <w:tblStyle w:val="TableGrid"/>
        <w:tblW w:type="auto" w:w="0"/>
        <w:jc w:val="center"/>
        <w:tblLayout w:type="fixed"/>
        <w:tblLook w:firstColumn="1" w:firstRow="1" w:lastColumn="0" w:lastRow="0" w:noHBand="0" w:noVBand="1" w:val="04A0"/>
        <w:tblLayout w:type="fixed"/>
      </w:tblPr>
      <w:tblGrid>
        <w:gridCol w:w="763"/>
        <w:gridCol w:w="2151"/>
        <w:gridCol w:w="2082"/>
        <w:gridCol w:w="2151"/>
        <w:gridCol w:w="2151"/>
      </w:tblGrid>
      <w:tr>
        <w:trPr>
          <w:tblHeader w:val="true"/>
        </w:trPr>
        <w:tc>
          <w:tcPr>
            <w:tcW w:type="dxa" w:w="763"/>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2151"/>
            <w:shd w:val="clear" w:color="auto" w:fill="E7E7E7"/>
          </w:tcPr>
          <w:p>
            <w:pPr>
              <w:spacing w:after="20" w:line="240" w:lineRule="auto"/>
            </w:pPr>
            <w:r/>
            <w:r>
              <w:rPr>
                <w:rFonts w:ascii="Times New Roman" w:hAnsi="Times New Roman" w:eastAsia="Times New Roman" w:cs="Times New Roman"/>
                <w:b/>
                <w:color w:val="000000"/>
                <w:sz w:val="20"/>
              </w:rPr>
              <w:t>South</w:t>
            </w:r>
          </w:p>
        </w:tc>
        <w:tc>
          <w:tcPr>
            <w:tcW w:type="dxa" w:w="2082"/>
            <w:shd w:val="clear" w:color="auto" w:fill="E7E7E7"/>
          </w:tcPr>
          <w:p>
            <w:pPr>
              <w:spacing w:after="20" w:line="240" w:lineRule="auto"/>
            </w:pPr>
            <w:r/>
            <w:r>
              <w:rPr>
                <w:rFonts w:ascii="Times New Roman" w:hAnsi="Times New Roman" w:eastAsia="Times New Roman" w:cs="Times New Roman"/>
                <w:b/>
                <w:color w:val="000000"/>
                <w:sz w:val="20"/>
              </w:rPr>
              <w:t>Northeast</w:t>
            </w:r>
          </w:p>
        </w:tc>
        <w:tc>
          <w:tcPr>
            <w:tcW w:type="dxa" w:w="2151"/>
            <w:shd w:val="clear" w:color="auto" w:fill="E7E7E7"/>
          </w:tcPr>
          <w:p>
            <w:pPr>
              <w:spacing w:after="20" w:line="240" w:lineRule="auto"/>
            </w:pPr>
            <w:r/>
            <w:r>
              <w:rPr>
                <w:rFonts w:ascii="Times New Roman" w:hAnsi="Times New Roman" w:eastAsia="Times New Roman" w:cs="Times New Roman"/>
                <w:b/>
                <w:color w:val="000000"/>
                <w:sz w:val="20"/>
              </w:rPr>
              <w:t>Midwest</w:t>
            </w:r>
          </w:p>
        </w:tc>
        <w:tc>
          <w:tcPr>
            <w:tcW w:type="dxa" w:w="2151"/>
            <w:shd w:val="clear" w:color="auto" w:fill="E7E7E7"/>
          </w:tcPr>
          <w:p>
            <w:pPr>
              <w:spacing w:after="20" w:line="240" w:lineRule="auto"/>
            </w:pPr>
            <w:r/>
            <w:r>
              <w:rPr>
                <w:rFonts w:ascii="Times New Roman" w:hAnsi="Times New Roman" w:eastAsia="Times New Roman" w:cs="Times New Roman"/>
                <w:b/>
                <w:color w:val="000000"/>
                <w:sz w:val="20"/>
              </w:rPr>
              <w:t>West</w:t>
            </w:r>
          </w:p>
        </w:tc>
      </w:tr>
      <w:tr>
        <w:tc>
          <w:tcPr>
            <w:tcW w:type="dxa" w:w="763"/>
          </w:tcPr>
          <w:p>
            <w:pPr>
              <w:spacing w:after="20" w:line="240" w:lineRule="auto"/>
            </w:pPr>
            <w:r/>
            <w:r>
              <w:rPr>
                <w:rFonts w:ascii="Times New Roman" w:hAnsi="Times New Roman" w:eastAsia="Times New Roman" w:cs="Times New Roman"/>
                <w:color w:val="000000"/>
                <w:sz w:val="20"/>
              </w:rPr>
              <w:t>Hydro</w:t>
            </w:r>
          </w:p>
        </w:tc>
        <w:tc>
          <w:tcPr>
            <w:tcW w:type="dxa" w:w="2151"/>
          </w:tcPr>
          <w:p>
            <w:pPr>
              <w:spacing w:after="20" w:line="240" w:lineRule="auto"/>
            </w:pPr>
            <w:r/>
            <w:r>
              <w:rPr>
                <w:rFonts w:ascii="Times New Roman" w:hAnsi="Times New Roman" w:eastAsia="Times New Roman" w:cs="Times New Roman"/>
                <w:color w:val="000000"/>
                <w:sz w:val="20"/>
              </w:rPr>
              <w:t>level, d = 0, D = 0 → (1,0,0)(1,0,1)12 + c</w:t>
            </w:r>
          </w:p>
        </w:tc>
        <w:tc>
          <w:tcPr>
            <w:tcW w:type="dxa" w:w="2082"/>
          </w:tcPr>
          <w:p>
            <w:pPr>
              <w:spacing w:after="20" w:line="240" w:lineRule="auto"/>
            </w:pPr>
            <w:r/>
            <w:r>
              <w:rPr>
                <w:rFonts w:ascii="Times New Roman" w:hAnsi="Times New Roman" w:eastAsia="Times New Roman" w:cs="Times New Roman"/>
                <w:color w:val="000000"/>
                <w:sz w:val="20"/>
              </w:rPr>
              <w:t>log, d = 1 → (0,1,2)(1,0,1)12</w:t>
            </w:r>
          </w:p>
        </w:tc>
        <w:tc>
          <w:tcPr>
            <w:tcW w:type="dxa" w:w="2151"/>
          </w:tcPr>
          <w:p>
            <w:pPr>
              <w:spacing w:after="20" w:line="240" w:lineRule="auto"/>
            </w:pPr>
            <w:r/>
            <w:r>
              <w:rPr>
                <w:rFonts w:ascii="Times New Roman" w:hAnsi="Times New Roman" w:eastAsia="Times New Roman" w:cs="Times New Roman"/>
                <w:color w:val="000000"/>
                <w:sz w:val="20"/>
              </w:rPr>
              <w:t>log, d = 1, D = 0 → (1,1,1)(1,0,1)12</w:t>
            </w:r>
          </w:p>
        </w:tc>
        <w:tc>
          <w:tcPr>
            <w:tcW w:type="dxa" w:w="2151"/>
          </w:tcPr>
          <w:p>
            <w:pPr>
              <w:spacing w:after="20" w:line="240" w:lineRule="auto"/>
            </w:pPr>
            <w:r/>
            <w:r>
              <w:rPr>
                <w:rFonts w:ascii="Times New Roman" w:hAnsi="Times New Roman" w:eastAsia="Times New Roman" w:cs="Times New Roman"/>
                <w:color w:val="000000"/>
                <w:sz w:val="20"/>
              </w:rPr>
              <w:t>log, d = 0, D = 1 → (1,0,2)(0,1,1)12</w:t>
            </w:r>
          </w:p>
        </w:tc>
      </w:tr>
      <w:tr>
        <w:tc>
          <w:tcPr>
            <w:tcW w:type="dxa" w:w="763"/>
          </w:tcPr>
          <w:p>
            <w:pPr>
              <w:spacing w:after="20" w:line="240" w:lineRule="auto"/>
            </w:pPr>
            <w:r/>
            <w:r>
              <w:rPr>
                <w:rFonts w:ascii="Times New Roman" w:hAnsi="Times New Roman" w:eastAsia="Times New Roman" w:cs="Times New Roman"/>
                <w:color w:val="000000"/>
                <w:sz w:val="20"/>
              </w:rPr>
              <w:t>Wind</w:t>
            </w:r>
          </w:p>
        </w:tc>
        <w:tc>
          <w:tcPr>
            <w:tcW w:type="dxa" w:w="2151"/>
          </w:tcPr>
          <w:p>
            <w:pPr>
              <w:spacing w:after="20" w:line="240" w:lineRule="auto"/>
            </w:pPr>
            <w:r/>
            <w:r>
              <w:rPr>
                <w:rFonts w:ascii="Times New Roman" w:hAnsi="Times New Roman" w:eastAsia="Times New Roman" w:cs="Times New Roman"/>
                <w:color w:val="000000"/>
                <w:sz w:val="20"/>
              </w:rPr>
              <w:t>log, d = 1, D = 0 → (1,1,1)(1,0,1)12</w:t>
            </w:r>
          </w:p>
        </w:tc>
        <w:tc>
          <w:tcPr>
            <w:tcW w:type="dxa" w:w="2082"/>
          </w:tcPr>
          <w:p>
            <w:pPr>
              <w:spacing w:after="20" w:line="240" w:lineRule="auto"/>
            </w:pPr>
            <w:r/>
            <w:r>
              <w:rPr>
                <w:rFonts w:ascii="Times New Roman" w:hAnsi="Times New Roman" w:eastAsia="Times New Roman" w:cs="Times New Roman"/>
                <w:color w:val="000000"/>
                <w:sz w:val="20"/>
              </w:rPr>
              <w:t>log, d = 1 → (0,1,1)(0,1,1)12</w:t>
            </w:r>
          </w:p>
        </w:tc>
        <w:tc>
          <w:tcPr>
            <w:tcW w:type="dxa" w:w="2151"/>
          </w:tcPr>
          <w:p>
            <w:pPr>
              <w:spacing w:after="20" w:line="240" w:lineRule="auto"/>
            </w:pPr>
            <w:r/>
            <w:r>
              <w:rPr>
                <w:rFonts w:ascii="Times New Roman" w:hAnsi="Times New Roman" w:eastAsia="Times New Roman" w:cs="Times New Roman"/>
                <w:color w:val="000000"/>
                <w:sz w:val="20"/>
              </w:rPr>
              <w:t>log, d = 1, D = 1 → (0,1,1)(0,1,1)12</w:t>
            </w:r>
          </w:p>
        </w:tc>
        <w:tc>
          <w:tcPr>
            <w:tcW w:type="dxa" w:w="2151"/>
          </w:tcPr>
          <w:p>
            <w:pPr>
              <w:spacing w:after="20" w:line="240" w:lineRule="auto"/>
            </w:pPr>
            <w:r/>
            <w:r>
              <w:rPr>
                <w:rFonts w:ascii="Times New Roman" w:hAnsi="Times New Roman" w:eastAsia="Times New Roman" w:cs="Times New Roman"/>
                <w:color w:val="000000"/>
                <w:sz w:val="20"/>
              </w:rPr>
              <w:t>log, d = 1, D = 0 → (1,1,1)(1,0,1)12 + drift</w:t>
            </w:r>
          </w:p>
        </w:tc>
      </w:tr>
      <w:tr>
        <w:tc>
          <w:tcPr>
            <w:tcW w:type="dxa" w:w="763"/>
          </w:tcPr>
          <w:p>
            <w:pPr>
              <w:spacing w:after="20" w:line="240" w:lineRule="auto"/>
            </w:pPr>
            <w:r/>
            <w:r>
              <w:rPr>
                <w:rFonts w:ascii="Times New Roman" w:hAnsi="Times New Roman" w:eastAsia="Times New Roman" w:cs="Times New Roman"/>
                <w:color w:val="000000"/>
                <w:sz w:val="20"/>
              </w:rPr>
              <w:t>Solar</w:t>
            </w:r>
          </w:p>
        </w:tc>
        <w:tc>
          <w:tcPr>
            <w:tcW w:type="dxa" w:w="2151"/>
          </w:tcPr>
          <w:p>
            <w:pPr>
              <w:spacing w:after="20" w:line="240" w:lineRule="auto"/>
            </w:pPr>
            <w:r/>
            <w:r>
              <w:rPr>
                <w:rFonts w:ascii="Times New Roman" w:hAnsi="Times New Roman" w:eastAsia="Times New Roman" w:cs="Times New Roman"/>
                <w:color w:val="000000"/>
                <w:sz w:val="20"/>
              </w:rPr>
              <w:t>log, d = 1, D = 1 → (1,1,0)(0,1,1)12</w:t>
            </w:r>
          </w:p>
        </w:tc>
        <w:tc>
          <w:tcPr>
            <w:tcW w:type="dxa" w:w="2082"/>
          </w:tcPr>
          <w:p>
            <w:pPr>
              <w:spacing w:after="20" w:line="240" w:lineRule="auto"/>
            </w:pPr>
            <w:r/>
            <w:r>
              <w:rPr>
                <w:rFonts w:ascii="Times New Roman" w:hAnsi="Times New Roman" w:eastAsia="Times New Roman" w:cs="Times New Roman"/>
                <w:color w:val="000000"/>
                <w:sz w:val="20"/>
              </w:rPr>
              <w:t>log, d = 1 → (0,1,1)(0,1,1)12</w:t>
            </w:r>
          </w:p>
        </w:tc>
        <w:tc>
          <w:tcPr>
            <w:tcW w:type="dxa" w:w="2151"/>
          </w:tcPr>
          <w:p>
            <w:pPr>
              <w:spacing w:after="20" w:line="240" w:lineRule="auto"/>
            </w:pPr>
            <w:r/>
            <w:r>
              <w:rPr>
                <w:rFonts w:ascii="Times New Roman" w:hAnsi="Times New Roman" w:eastAsia="Times New Roman" w:cs="Times New Roman"/>
                <w:color w:val="000000"/>
                <w:sz w:val="20"/>
              </w:rPr>
              <w:t>log, d = 0, D = 1 → (1,0,0)(1,1,1)12 + drift</w:t>
            </w:r>
          </w:p>
        </w:tc>
        <w:tc>
          <w:tcPr>
            <w:tcW w:type="dxa" w:w="2151"/>
          </w:tcPr>
          <w:p>
            <w:pPr>
              <w:spacing w:after="20" w:line="240" w:lineRule="auto"/>
            </w:pPr>
            <w:r/>
            <w:r>
              <w:rPr>
                <w:rFonts w:ascii="Times New Roman" w:hAnsi="Times New Roman" w:eastAsia="Times New Roman" w:cs="Times New Roman"/>
                <w:color w:val="000000"/>
                <w:sz w:val="20"/>
              </w:rPr>
              <w:t>log, d = 1, D = 1 → (1,1,1)(1,1,1)12</w:t>
            </w:r>
          </w:p>
        </w:tc>
      </w:tr>
      <w:tr>
        <w:tc>
          <w:tcPr>
            <w:tcW w:type="dxa" w:w="763"/>
          </w:tcPr>
          <w:p>
            <w:pPr>
              <w:spacing w:after="20" w:line="240" w:lineRule="auto"/>
            </w:pPr>
            <w:r/>
            <w:r>
              <w:rPr>
                <w:rFonts w:ascii="Times New Roman" w:hAnsi="Times New Roman" w:eastAsia="Times New Roman" w:cs="Times New Roman"/>
                <w:color w:val="000000"/>
                <w:sz w:val="20"/>
              </w:rPr>
              <w:t>Biomass</w:t>
            </w:r>
          </w:p>
        </w:tc>
        <w:tc>
          <w:tcPr>
            <w:tcW w:type="dxa" w:w="2151"/>
          </w:tcPr>
          <w:p>
            <w:pPr>
              <w:spacing w:after="20" w:line="240" w:lineRule="auto"/>
            </w:pPr>
            <w:r/>
            <w:r>
              <w:rPr>
                <w:rFonts w:ascii="Times New Roman" w:hAnsi="Times New Roman" w:eastAsia="Times New Roman" w:cs="Times New Roman"/>
                <w:color w:val="000000"/>
                <w:sz w:val="20"/>
              </w:rPr>
              <w:t>level, d = 1, D = 1 → (0,1,1)(0,1,1)12</w:t>
            </w:r>
          </w:p>
        </w:tc>
        <w:tc>
          <w:tcPr>
            <w:tcW w:type="dxa" w:w="2082"/>
          </w:tcPr>
          <w:p>
            <w:pPr>
              <w:spacing w:after="20" w:line="240" w:lineRule="auto"/>
            </w:pPr>
            <w:r/>
            <w:r>
              <w:rPr>
                <w:rFonts w:ascii="Times New Roman" w:hAnsi="Times New Roman" w:eastAsia="Times New Roman" w:cs="Times New Roman"/>
                <w:color w:val="000000"/>
                <w:sz w:val="20"/>
              </w:rPr>
              <w:t>log, d = 1 → (2,1,0)(1,1,1)12</w:t>
            </w:r>
          </w:p>
        </w:tc>
        <w:tc>
          <w:tcPr>
            <w:tcW w:type="dxa" w:w="2151"/>
          </w:tcPr>
          <w:p>
            <w:pPr>
              <w:spacing w:after="20" w:line="240" w:lineRule="auto"/>
            </w:pPr>
            <w:r/>
            <w:r>
              <w:rPr>
                <w:rFonts w:ascii="Times New Roman" w:hAnsi="Times New Roman" w:eastAsia="Times New Roman" w:cs="Times New Roman"/>
                <w:color w:val="000000"/>
                <w:sz w:val="20"/>
              </w:rPr>
              <w:t>level, d = 1, D = 0 → (1,1,1)(1,0,1)12</w:t>
            </w:r>
          </w:p>
        </w:tc>
        <w:tc>
          <w:tcPr>
            <w:tcW w:type="dxa" w:w="2151"/>
          </w:tcPr>
          <w:p>
            <w:pPr>
              <w:spacing w:after="20" w:line="240" w:lineRule="auto"/>
            </w:pPr>
            <w:r/>
            <w:r>
              <w:rPr>
                <w:rFonts w:ascii="Times New Roman" w:hAnsi="Times New Roman" w:eastAsia="Times New Roman" w:cs="Times New Roman"/>
                <w:color w:val="000000"/>
                <w:sz w:val="20"/>
              </w:rPr>
              <w:t>level, d = 1, D = 1 → (0,1,2)(0,1,1)12</w:t>
            </w:r>
          </w:p>
        </w:tc>
      </w:tr>
      <w:tr>
        <w:tc>
          <w:tcPr>
            <w:tcW w:type="dxa" w:w="763"/>
          </w:tcPr>
          <w:p>
            <w:pPr>
              <w:spacing w:after="20" w:line="240" w:lineRule="auto"/>
            </w:pPr>
            <w:r/>
            <w:r>
              <w:rPr>
                <w:rFonts w:ascii="Times New Roman" w:hAnsi="Times New Roman" w:eastAsia="Times New Roman" w:cs="Times New Roman"/>
                <w:color w:val="000000"/>
                <w:sz w:val="20"/>
              </w:rPr>
              <w:t>Geothermal</w:t>
            </w:r>
          </w:p>
        </w:tc>
        <w:tc>
          <w:tcPr>
            <w:tcW w:type="dxa" w:w="2151"/>
          </w:tcPr>
          <w:p>
            <w:pPr>
              <w:spacing w:after="20" w:line="240" w:lineRule="auto"/>
            </w:pPr>
            <w:r/>
            <w:r>
              <w:rPr>
                <w:rFonts w:ascii="Times New Roman" w:hAnsi="Times New Roman" w:eastAsia="Times New Roman" w:cs="Times New Roman"/>
                <w:color w:val="000000"/>
                <w:sz w:val="20"/>
              </w:rPr>
              <w:t>—</w:t>
            </w:r>
          </w:p>
        </w:tc>
        <w:tc>
          <w:tcPr>
            <w:tcW w:type="dxa" w:w="2082"/>
          </w:tcPr>
          <w:p>
            <w:pPr>
              <w:spacing w:after="20" w:line="240" w:lineRule="auto"/>
            </w:pPr>
            <w:r/>
            <w:r>
              <w:rPr>
                <w:rFonts w:ascii="Times New Roman" w:hAnsi="Times New Roman" w:eastAsia="Times New Roman" w:cs="Times New Roman"/>
                <w:color w:val="000000"/>
                <w:sz w:val="20"/>
              </w:rPr>
              <w:t>—</w:t>
            </w:r>
          </w:p>
        </w:tc>
        <w:tc>
          <w:tcPr>
            <w:tcW w:type="dxa" w:w="2151"/>
          </w:tcPr>
          <w:p>
            <w:pPr>
              <w:spacing w:after="20" w:line="240" w:lineRule="auto"/>
            </w:pPr>
            <w:r/>
            <w:r>
              <w:rPr>
                <w:rFonts w:ascii="Times New Roman" w:hAnsi="Times New Roman" w:eastAsia="Times New Roman" w:cs="Times New Roman"/>
                <w:color w:val="000000"/>
                <w:sz w:val="20"/>
              </w:rPr>
              <w:t>—</w:t>
            </w:r>
          </w:p>
        </w:tc>
        <w:tc>
          <w:tcPr>
            <w:tcW w:type="dxa" w:w="2151"/>
          </w:tcPr>
          <w:p>
            <w:pPr>
              <w:spacing w:after="20" w:line="240" w:lineRule="auto"/>
            </w:pPr>
            <w:r/>
            <w:r>
              <w:rPr>
                <w:rFonts w:ascii="Times New Roman" w:hAnsi="Times New Roman" w:eastAsia="Times New Roman" w:cs="Times New Roman"/>
                <w:color w:val="000000"/>
                <w:sz w:val="20"/>
              </w:rPr>
              <w:t>level, d = 1, D = 0 → (1,1,1)(1,0,1)12</w:t>
            </w:r>
          </w:p>
        </w:tc>
      </w:tr>
    </w:tbl>
    <w:p>
      <w:pPr>
        <w:spacing w:after="40"/>
      </w:pPr>
    </w:p>
    <w:p>
      <w:pPr>
        <w:pStyle w:val="ListBullet"/>
      </w:pPr>
      <w:r>
        <w:rPr>
          <w:rFonts w:ascii="Times New Roman" w:hAnsi="Times New Roman" w:eastAsia="Times New Roman" w:cs="Times New Roman"/>
          <w:color w:val="000000"/>
        </w:rPr>
        <w:t>Almost every original series is non-stationary (ADF fails to reject a unit root and/or KPSS rejects stationarity); the exception is hydro in the South and West, which is stationary around its level and needs no regular difference.</w:t>
      </w:r>
    </w:p>
    <w:p>
      <w:pPr>
        <w:pStyle w:val="ListBullet"/>
      </w:pPr>
      <w:r>
        <w:rPr>
          <w:rFonts w:ascii="Times New Roman" w:hAnsi="Times New Roman" w:eastAsia="Times New Roman" w:cs="Times New Roman"/>
          <w:color w:val="000000"/>
        </w:rPr>
        <w:t>Wind and solar (and Midwestern and Western hydro) have seasonal swings that grow with the level and are modelled on the log scale.</w:t>
      </w:r>
    </w:p>
    <w:p>
      <w:pPr>
        <w:pStyle w:val="ListBullet"/>
      </w:pPr>
      <w:r>
        <w:rPr>
          <w:rFonts w:ascii="Times New Roman" w:hAnsi="Times New Roman" w:eastAsia="Times New Roman" w:cs="Times New Roman"/>
          <w:color w:val="000000"/>
        </w:rPr>
        <w:t>A seasonal MA(1) term appears in almost every SARIMA, matching the negative lag-12 spike in the ACF after seasonal differencing; where no seasonal difference is taken, a seasonal AR term close to 1 plays the same role.</w:t>
      </w:r>
    </w:p>
    <w:p>
      <w:pPr>
        <w:pStyle w:val="ListBullet"/>
      </w:pPr>
      <w:r>
        <w:rPr>
          <w:rFonts w:ascii="Times New Roman" w:hAnsi="Times New Roman" w:eastAsia="Times New Roman" w:cs="Times New Roman"/>
          <w:b/>
          <w:color w:val="000000"/>
        </w:rPr>
        <w:t>SARIMA leaves white-noise residuals for every source in every region</w:t>
      </w:r>
      <w:r>
        <w:rPr>
          <w:rFonts w:ascii="Times New Roman" w:hAnsi="Times New Roman" w:eastAsia="Times New Roman" w:cs="Times New Roman"/>
          <w:color w:val="000000"/>
        </w:rPr>
        <w:t>, so it is the most reliable common description of the time structure, even where another model forecasts more accurately.</w:t>
      </w:r>
    </w:p>
    <w:p>
      <w:pPr>
        <w:pStyle w:val="Heading2"/>
      </w:pPr>
      <w:r>
        <w:rPr>
          <w:rFonts w:ascii="Times New Roman" w:hAnsi="Times New Roman" w:eastAsia="Times New Roman" w:cs="Times New Roman"/>
          <w:color w:val="000000"/>
        </w:rPr>
        <w:t>9.7 Twelve-month outlook (August 2026 – July 2027)</w:t>
      </w:r>
    </w:p>
    <w:p>
      <w:pPr>
        <w:keepNext/>
        <w:spacing w:before="120"/>
      </w:pPr>
      <w:r>
        <w:rPr>
          <w:rFonts w:ascii="Times New Roman" w:hAnsi="Times New Roman" w:eastAsia="Times New Roman" w:cs="Times New Roman"/>
          <w:b/>
          <w:color w:val="000000"/>
          <w:sz w:val="22"/>
        </w:rPr>
        <w:t>Table 9.9 Forecasts by source (TWh, last 12 months → next 12 months)</w:t>
      </w:r>
    </w:p>
    <w:tbl>
      <w:tblPr>
        <w:tblStyle w:val="TableGrid"/>
        <w:tblW w:type="auto" w:w="0"/>
        <w:jc w:val="center"/>
        <w:tblLayout w:type="fixed"/>
        <w:tblLook w:firstColumn="1" w:firstRow="1" w:lastColumn="0" w:lastRow="0" w:noHBand="0" w:noVBand="1" w:val="04A0"/>
        <w:tblLayout w:type="fixed"/>
      </w:tblPr>
      <w:tblGrid>
        <w:gridCol w:w="641"/>
        <w:gridCol w:w="1475"/>
        <w:gridCol w:w="1411"/>
        <w:gridCol w:w="1475"/>
        <w:gridCol w:w="1282"/>
        <w:gridCol w:w="1282"/>
        <w:gridCol w:w="1731"/>
      </w:tblGrid>
      <w:tr>
        <w:trPr>
          <w:tblHeader w:val="true"/>
        </w:trPr>
        <w:tc>
          <w:tcPr>
            <w:tcW w:type="dxa" w:w="641"/>
            <w:shd w:val="clear" w:color="auto" w:fill="E7E7E7"/>
          </w:tcPr>
          <w:p>
            <w:pPr>
              <w:spacing w:after="20" w:line="240" w:lineRule="auto"/>
            </w:pPr>
            <w:r/>
            <w:r>
              <w:rPr>
                <w:rFonts w:ascii="Times New Roman" w:hAnsi="Times New Roman" w:eastAsia="Times New Roman" w:cs="Times New Roman"/>
                <w:b/>
                <w:color w:val="000000"/>
                <w:sz w:val="18"/>
              </w:rPr>
              <w:t>Region</w:t>
            </w:r>
          </w:p>
        </w:tc>
        <w:tc>
          <w:tcPr>
            <w:tcW w:type="dxa" w:w="1475"/>
            <w:shd w:val="clear" w:color="auto" w:fill="E7E7E7"/>
          </w:tcPr>
          <w:p>
            <w:pPr>
              <w:spacing w:after="20" w:line="240" w:lineRule="auto"/>
            </w:pPr>
            <w:r/>
            <w:r>
              <w:rPr>
                <w:rFonts w:ascii="Times New Roman" w:hAnsi="Times New Roman" w:eastAsia="Times New Roman" w:cs="Times New Roman"/>
                <w:b/>
                <w:color w:val="000000"/>
                <w:sz w:val="18"/>
              </w:rPr>
              <w:t>Hydro</w:t>
            </w:r>
          </w:p>
        </w:tc>
        <w:tc>
          <w:tcPr>
            <w:tcW w:type="dxa" w:w="1411"/>
            <w:shd w:val="clear" w:color="auto" w:fill="E7E7E7"/>
          </w:tcPr>
          <w:p>
            <w:pPr>
              <w:spacing w:after="20" w:line="240" w:lineRule="auto"/>
            </w:pPr>
            <w:r/>
            <w:r>
              <w:rPr>
                <w:rFonts w:ascii="Times New Roman" w:hAnsi="Times New Roman" w:eastAsia="Times New Roman" w:cs="Times New Roman"/>
                <w:b/>
                <w:color w:val="000000"/>
                <w:sz w:val="18"/>
              </w:rPr>
              <w:t>Wind</w:t>
            </w:r>
          </w:p>
        </w:tc>
        <w:tc>
          <w:tcPr>
            <w:tcW w:type="dxa" w:w="1475"/>
            <w:shd w:val="clear" w:color="auto" w:fill="E7E7E7"/>
          </w:tcPr>
          <w:p>
            <w:pPr>
              <w:spacing w:after="20" w:line="240" w:lineRule="auto"/>
            </w:pPr>
            <w:r/>
            <w:r>
              <w:rPr>
                <w:rFonts w:ascii="Times New Roman" w:hAnsi="Times New Roman" w:eastAsia="Times New Roman" w:cs="Times New Roman"/>
                <w:b/>
                <w:color w:val="000000"/>
                <w:sz w:val="18"/>
              </w:rPr>
              <w:t>Solar</w:t>
            </w:r>
          </w:p>
        </w:tc>
        <w:tc>
          <w:tcPr>
            <w:tcW w:type="dxa" w:w="1282"/>
            <w:shd w:val="clear" w:color="auto" w:fill="E7E7E7"/>
          </w:tcPr>
          <w:p>
            <w:pPr>
              <w:spacing w:after="20" w:line="240" w:lineRule="auto"/>
            </w:pPr>
            <w:r/>
            <w:r>
              <w:rPr>
                <w:rFonts w:ascii="Times New Roman" w:hAnsi="Times New Roman" w:eastAsia="Times New Roman" w:cs="Times New Roman"/>
                <w:b/>
                <w:color w:val="000000"/>
                <w:sz w:val="18"/>
              </w:rPr>
              <w:t>Biomass</w:t>
            </w:r>
          </w:p>
        </w:tc>
        <w:tc>
          <w:tcPr>
            <w:tcW w:type="dxa" w:w="1282"/>
            <w:shd w:val="clear" w:color="auto" w:fill="E7E7E7"/>
          </w:tcPr>
          <w:p>
            <w:pPr>
              <w:spacing w:after="20" w:line="240" w:lineRule="auto"/>
            </w:pPr>
            <w:r/>
            <w:r>
              <w:rPr>
                <w:rFonts w:ascii="Times New Roman" w:hAnsi="Times New Roman" w:eastAsia="Times New Roman" w:cs="Times New Roman"/>
                <w:b/>
                <w:color w:val="000000"/>
                <w:sz w:val="18"/>
              </w:rPr>
              <w:t>Geothermal</w:t>
            </w:r>
          </w:p>
        </w:tc>
        <w:tc>
          <w:tcPr>
            <w:tcW w:type="dxa" w:w="1731"/>
            <w:shd w:val="clear" w:color="auto" w:fill="E7E7E7"/>
          </w:tcPr>
          <w:p>
            <w:pPr>
              <w:spacing w:after="20" w:line="240" w:lineRule="auto"/>
            </w:pPr>
            <w:r/>
            <w:r>
              <w:rPr>
                <w:rFonts w:ascii="Times New Roman" w:hAnsi="Times New Roman" w:eastAsia="Times New Roman" w:cs="Times New Roman"/>
                <w:b/>
                <w:color w:val="000000"/>
                <w:sz w:val="18"/>
              </w:rPr>
              <w:t>Total: last 12 months → forecast</w:t>
            </w:r>
          </w:p>
        </w:tc>
      </w:tr>
      <w:tr>
        <w:tc>
          <w:tcPr>
            <w:tcW w:type="dxa" w:w="641"/>
          </w:tcPr>
          <w:p>
            <w:pPr>
              <w:spacing w:after="20" w:line="240" w:lineRule="auto"/>
            </w:pPr>
            <w:r/>
            <w:r>
              <w:rPr>
                <w:rFonts w:ascii="Times New Roman" w:hAnsi="Times New Roman" w:eastAsia="Times New Roman" w:cs="Times New Roman"/>
                <w:color w:val="000000"/>
                <w:sz w:val="18"/>
              </w:rPr>
              <w:t>South</w:t>
            </w:r>
          </w:p>
        </w:tc>
        <w:tc>
          <w:tcPr>
            <w:tcW w:type="dxa" w:w="1475"/>
          </w:tcPr>
          <w:p>
            <w:pPr>
              <w:spacing w:after="20" w:line="240" w:lineRule="auto"/>
            </w:pPr>
            <w:r/>
            <w:r>
              <w:rPr>
                <w:rFonts w:ascii="Times New Roman" w:hAnsi="Times New Roman" w:eastAsia="Times New Roman" w:cs="Times New Roman"/>
                <w:color w:val="000000"/>
                <w:sz w:val="18"/>
              </w:rPr>
              <w:t>37.2 → 42.0 (+12.9%)</w:t>
            </w:r>
          </w:p>
        </w:tc>
        <w:tc>
          <w:tcPr>
            <w:tcW w:type="dxa" w:w="1411"/>
          </w:tcPr>
          <w:p>
            <w:pPr>
              <w:spacing w:after="20" w:line="240" w:lineRule="auto"/>
            </w:pPr>
            <w:r/>
            <w:r>
              <w:rPr>
                <w:rFonts w:ascii="Times New Roman" w:hAnsi="Times New Roman" w:eastAsia="Times New Roman" w:cs="Times New Roman"/>
                <w:color w:val="000000"/>
                <w:sz w:val="18"/>
              </w:rPr>
              <w:t>180.9 → 192.4 (+6.3%)</w:t>
            </w:r>
          </w:p>
        </w:tc>
        <w:tc>
          <w:tcPr>
            <w:tcW w:type="dxa" w:w="1475"/>
          </w:tcPr>
          <w:p>
            <w:pPr>
              <w:spacing w:after="20" w:line="240" w:lineRule="auto"/>
            </w:pPr>
            <w:r/>
            <w:r>
              <w:rPr>
                <w:rFonts w:ascii="Times New Roman" w:hAnsi="Times New Roman" w:eastAsia="Times New Roman" w:cs="Times New Roman"/>
                <w:color w:val="000000"/>
                <w:sz w:val="18"/>
              </w:rPr>
              <w:t>157.1 → 208.7 (+32.8%)</w:t>
            </w:r>
          </w:p>
        </w:tc>
        <w:tc>
          <w:tcPr>
            <w:tcW w:type="dxa" w:w="1282"/>
          </w:tcPr>
          <w:p>
            <w:pPr>
              <w:spacing w:after="20" w:line="240" w:lineRule="auto"/>
            </w:pPr>
            <w:r/>
            <w:r>
              <w:rPr>
                <w:rFonts w:ascii="Times New Roman" w:hAnsi="Times New Roman" w:eastAsia="Times New Roman" w:cs="Times New Roman"/>
                <w:color w:val="000000"/>
                <w:sz w:val="18"/>
              </w:rPr>
              <w:t>23.0 → 22.4 (−2.4%)</w:t>
            </w:r>
          </w:p>
        </w:tc>
        <w:tc>
          <w:tcPr>
            <w:tcW w:type="dxa" w:w="1282"/>
          </w:tcPr>
          <w:p>
            <w:pPr>
              <w:spacing w:after="20" w:line="240" w:lineRule="auto"/>
            </w:pPr>
            <w:r/>
            <w:r>
              <w:rPr>
                <w:rFonts w:ascii="Times New Roman" w:hAnsi="Times New Roman" w:eastAsia="Times New Roman" w:cs="Times New Roman"/>
                <w:color w:val="000000"/>
                <w:sz w:val="18"/>
              </w:rPr>
              <w:t>—</w:t>
            </w:r>
          </w:p>
        </w:tc>
        <w:tc>
          <w:tcPr>
            <w:tcW w:type="dxa" w:w="1731"/>
          </w:tcPr>
          <w:p>
            <w:pPr>
              <w:spacing w:after="20" w:line="240" w:lineRule="auto"/>
            </w:pPr>
            <w:r/>
            <w:r>
              <w:rPr>
                <w:rFonts w:ascii="Times New Roman" w:hAnsi="Times New Roman" w:eastAsia="Times New Roman" w:cs="Times New Roman"/>
                <w:color w:val="000000"/>
                <w:sz w:val="18"/>
              </w:rPr>
              <w:t>398.2 → 465.5 TWh (+16.9%)</w:t>
            </w:r>
          </w:p>
        </w:tc>
      </w:tr>
      <w:tr>
        <w:tc>
          <w:tcPr>
            <w:tcW w:type="dxa" w:w="641"/>
          </w:tcPr>
          <w:p>
            <w:pPr>
              <w:spacing w:after="20" w:line="240" w:lineRule="auto"/>
            </w:pPr>
            <w:r/>
            <w:r>
              <w:rPr>
                <w:rFonts w:ascii="Times New Roman" w:hAnsi="Times New Roman" w:eastAsia="Times New Roman" w:cs="Times New Roman"/>
                <w:color w:val="000000"/>
                <w:sz w:val="18"/>
              </w:rPr>
              <w:t>Northeast</w:t>
            </w:r>
          </w:p>
        </w:tc>
        <w:tc>
          <w:tcPr>
            <w:tcW w:type="dxa" w:w="1475"/>
          </w:tcPr>
          <w:p>
            <w:pPr>
              <w:spacing w:after="20" w:line="240" w:lineRule="auto"/>
            </w:pPr>
            <w:r/>
            <w:r>
              <w:rPr>
                <w:rFonts w:ascii="Times New Roman" w:hAnsi="Times New Roman" w:eastAsia="Times New Roman" w:cs="Times New Roman"/>
                <w:color w:val="000000"/>
                <w:sz w:val="18"/>
              </w:rPr>
              <w:t>33.8 → 31.9 (−5.6%)</w:t>
            </w:r>
          </w:p>
        </w:tc>
        <w:tc>
          <w:tcPr>
            <w:tcW w:type="dxa" w:w="1411"/>
          </w:tcPr>
          <w:p>
            <w:pPr>
              <w:spacing w:after="20" w:line="240" w:lineRule="auto"/>
            </w:pPr>
            <w:r/>
            <w:r>
              <w:rPr>
                <w:rFonts w:ascii="Times New Roman" w:hAnsi="Times New Roman" w:eastAsia="Times New Roman" w:cs="Times New Roman"/>
                <w:color w:val="000000"/>
                <w:sz w:val="18"/>
              </w:rPr>
              <w:t>14.9 → 16.1 (+8.0%)</w:t>
            </w:r>
          </w:p>
        </w:tc>
        <w:tc>
          <w:tcPr>
            <w:tcW w:type="dxa" w:w="1475"/>
          </w:tcPr>
          <w:p>
            <w:pPr>
              <w:spacing w:after="20" w:line="240" w:lineRule="auto"/>
            </w:pPr>
            <w:r/>
            <w:r>
              <w:rPr>
                <w:rFonts w:ascii="Times New Roman" w:hAnsi="Times New Roman" w:eastAsia="Times New Roman" w:cs="Times New Roman"/>
                <w:color w:val="000000"/>
                <w:sz w:val="18"/>
              </w:rPr>
              <w:t>16.1 → 17.4 (+8.0%)</w:t>
            </w:r>
          </w:p>
        </w:tc>
        <w:tc>
          <w:tcPr>
            <w:tcW w:type="dxa" w:w="1282"/>
          </w:tcPr>
          <w:p>
            <w:pPr>
              <w:spacing w:after="20" w:line="240" w:lineRule="auto"/>
            </w:pPr>
            <w:r/>
            <w:r>
              <w:rPr>
                <w:rFonts w:ascii="Times New Roman" w:hAnsi="Times New Roman" w:eastAsia="Times New Roman" w:cs="Times New Roman"/>
                <w:color w:val="000000"/>
                <w:sz w:val="18"/>
              </w:rPr>
              <w:t>7.5 → 7.0 (−6.4%)</w:t>
            </w:r>
          </w:p>
        </w:tc>
        <w:tc>
          <w:tcPr>
            <w:tcW w:type="dxa" w:w="1282"/>
          </w:tcPr>
          <w:p>
            <w:pPr>
              <w:spacing w:after="20" w:line="240" w:lineRule="auto"/>
            </w:pPr>
            <w:r/>
            <w:r>
              <w:rPr>
                <w:rFonts w:ascii="Times New Roman" w:hAnsi="Times New Roman" w:eastAsia="Times New Roman" w:cs="Times New Roman"/>
                <w:color w:val="000000"/>
                <w:sz w:val="18"/>
              </w:rPr>
              <w:t>—</w:t>
            </w:r>
          </w:p>
        </w:tc>
        <w:tc>
          <w:tcPr>
            <w:tcW w:type="dxa" w:w="1731"/>
          </w:tcPr>
          <w:p>
            <w:pPr>
              <w:spacing w:after="20" w:line="240" w:lineRule="auto"/>
            </w:pPr>
            <w:r/>
            <w:r>
              <w:rPr>
                <w:rFonts w:ascii="Times New Roman" w:hAnsi="Times New Roman" w:eastAsia="Times New Roman" w:cs="Times New Roman"/>
                <w:color w:val="000000"/>
                <w:sz w:val="18"/>
              </w:rPr>
              <w:t>72.3 → 72.4 TWh (+0.2%)</w:t>
            </w:r>
          </w:p>
        </w:tc>
      </w:tr>
      <w:tr>
        <w:tc>
          <w:tcPr>
            <w:tcW w:type="dxa" w:w="641"/>
          </w:tcPr>
          <w:p>
            <w:pPr>
              <w:spacing w:after="20" w:line="240" w:lineRule="auto"/>
            </w:pPr>
            <w:r/>
            <w:r>
              <w:rPr>
                <w:rFonts w:ascii="Times New Roman" w:hAnsi="Times New Roman" w:eastAsia="Times New Roman" w:cs="Times New Roman"/>
                <w:color w:val="000000"/>
                <w:sz w:val="18"/>
              </w:rPr>
              <w:t>Midwest</w:t>
            </w:r>
          </w:p>
        </w:tc>
        <w:tc>
          <w:tcPr>
            <w:tcW w:type="dxa" w:w="1475"/>
          </w:tcPr>
          <w:p>
            <w:pPr>
              <w:spacing w:after="20" w:line="240" w:lineRule="auto"/>
            </w:pPr>
            <w:r/>
            <w:r>
              <w:rPr>
                <w:rFonts w:ascii="Times New Roman" w:hAnsi="Times New Roman" w:eastAsia="Times New Roman" w:cs="Times New Roman"/>
                <w:color w:val="000000"/>
                <w:sz w:val="18"/>
              </w:rPr>
              <w:t>18.0 → 18.3 (+1.8%)</w:t>
            </w:r>
          </w:p>
        </w:tc>
        <w:tc>
          <w:tcPr>
            <w:tcW w:type="dxa" w:w="1411"/>
          </w:tcPr>
          <w:p>
            <w:pPr>
              <w:spacing w:after="20" w:line="240" w:lineRule="auto"/>
            </w:pPr>
            <w:r/>
            <w:r>
              <w:rPr>
                <w:rFonts w:ascii="Times New Roman" w:hAnsi="Times New Roman" w:eastAsia="Times New Roman" w:cs="Times New Roman"/>
                <w:color w:val="000000"/>
                <w:sz w:val="18"/>
              </w:rPr>
              <w:t>188.0 → 197.8 (+5.2%)</w:t>
            </w:r>
          </w:p>
        </w:tc>
        <w:tc>
          <w:tcPr>
            <w:tcW w:type="dxa" w:w="1475"/>
          </w:tcPr>
          <w:p>
            <w:pPr>
              <w:spacing w:after="20" w:line="240" w:lineRule="auto"/>
            </w:pPr>
            <w:r/>
            <w:r>
              <w:rPr>
                <w:rFonts w:ascii="Times New Roman" w:hAnsi="Times New Roman" w:eastAsia="Times New Roman" w:cs="Times New Roman"/>
                <w:color w:val="000000"/>
                <w:sz w:val="18"/>
              </w:rPr>
              <w:t>44.9 → 69.3 (+54.5%)</w:t>
            </w:r>
          </w:p>
        </w:tc>
        <w:tc>
          <w:tcPr>
            <w:tcW w:type="dxa" w:w="1282"/>
          </w:tcPr>
          <w:p>
            <w:pPr>
              <w:spacing w:after="20" w:line="240" w:lineRule="auto"/>
            </w:pPr>
            <w:r/>
            <w:r>
              <w:rPr>
                <w:rFonts w:ascii="Times New Roman" w:hAnsi="Times New Roman" w:eastAsia="Times New Roman" w:cs="Times New Roman"/>
                <w:color w:val="000000"/>
                <w:sz w:val="18"/>
              </w:rPr>
              <w:t>5.5 → 5.5 (0.0%)</w:t>
            </w:r>
          </w:p>
        </w:tc>
        <w:tc>
          <w:tcPr>
            <w:tcW w:type="dxa" w:w="1282"/>
          </w:tcPr>
          <w:p>
            <w:pPr>
              <w:spacing w:after="20" w:line="240" w:lineRule="auto"/>
            </w:pPr>
            <w:r/>
            <w:r>
              <w:rPr>
                <w:rFonts w:ascii="Times New Roman" w:hAnsi="Times New Roman" w:eastAsia="Times New Roman" w:cs="Times New Roman"/>
                <w:color w:val="000000"/>
                <w:sz w:val="18"/>
              </w:rPr>
              <w:t>—</w:t>
            </w:r>
          </w:p>
        </w:tc>
        <w:tc>
          <w:tcPr>
            <w:tcW w:type="dxa" w:w="1731"/>
          </w:tcPr>
          <w:p>
            <w:pPr>
              <w:spacing w:after="20" w:line="240" w:lineRule="auto"/>
            </w:pPr>
            <w:r/>
            <w:r>
              <w:rPr>
                <w:rFonts w:ascii="Times New Roman" w:hAnsi="Times New Roman" w:eastAsia="Times New Roman" w:cs="Times New Roman"/>
                <w:color w:val="000000"/>
                <w:sz w:val="18"/>
              </w:rPr>
              <w:t>256.3 → 290.8 TWh (+13.5%)</w:t>
            </w:r>
          </w:p>
        </w:tc>
      </w:tr>
      <w:tr>
        <w:tc>
          <w:tcPr>
            <w:tcW w:type="dxa" w:w="641"/>
          </w:tcPr>
          <w:p>
            <w:pPr>
              <w:spacing w:after="20" w:line="240" w:lineRule="auto"/>
            </w:pPr>
            <w:r/>
            <w:r>
              <w:rPr>
                <w:rFonts w:ascii="Times New Roman" w:hAnsi="Times New Roman" w:eastAsia="Times New Roman" w:cs="Times New Roman"/>
                <w:color w:val="000000"/>
                <w:sz w:val="18"/>
              </w:rPr>
              <w:t>West</w:t>
            </w:r>
          </w:p>
        </w:tc>
        <w:tc>
          <w:tcPr>
            <w:tcW w:type="dxa" w:w="1475"/>
          </w:tcPr>
          <w:p>
            <w:pPr>
              <w:spacing w:after="20" w:line="240" w:lineRule="auto"/>
            </w:pPr>
            <w:r/>
            <w:r>
              <w:rPr>
                <w:rFonts w:ascii="Times New Roman" w:hAnsi="Times New Roman" w:eastAsia="Times New Roman" w:cs="Times New Roman"/>
                <w:color w:val="000000"/>
                <w:sz w:val="18"/>
              </w:rPr>
              <w:t>171.6 → 145.5 (−15.2%)</w:t>
            </w:r>
          </w:p>
        </w:tc>
        <w:tc>
          <w:tcPr>
            <w:tcW w:type="dxa" w:w="1411"/>
          </w:tcPr>
          <w:p>
            <w:pPr>
              <w:spacing w:after="20" w:line="240" w:lineRule="auto"/>
            </w:pPr>
            <w:r/>
            <w:r>
              <w:rPr>
                <w:rFonts w:ascii="Times New Roman" w:hAnsi="Times New Roman" w:eastAsia="Times New Roman" w:cs="Times New Roman"/>
                <w:color w:val="000000"/>
                <w:sz w:val="18"/>
              </w:rPr>
              <w:t>97.4 → 102.8 (+5.5%)</w:t>
            </w:r>
          </w:p>
        </w:tc>
        <w:tc>
          <w:tcPr>
            <w:tcW w:type="dxa" w:w="1475"/>
          </w:tcPr>
          <w:p>
            <w:pPr>
              <w:spacing w:after="20" w:line="240" w:lineRule="auto"/>
            </w:pPr>
            <w:r/>
            <w:r>
              <w:rPr>
                <w:rFonts w:ascii="Times New Roman" w:hAnsi="Times New Roman" w:eastAsia="Times New Roman" w:cs="Times New Roman"/>
                <w:color w:val="000000"/>
                <w:sz w:val="18"/>
              </w:rPr>
              <w:t>116.6 → 129.0 (+10.7%)</w:t>
            </w:r>
          </w:p>
        </w:tc>
        <w:tc>
          <w:tcPr>
            <w:tcW w:type="dxa" w:w="1282"/>
          </w:tcPr>
          <w:p>
            <w:pPr>
              <w:spacing w:after="20" w:line="240" w:lineRule="auto"/>
            </w:pPr>
            <w:r/>
            <w:r>
              <w:rPr>
                <w:rFonts w:ascii="Times New Roman" w:hAnsi="Times New Roman" w:eastAsia="Times New Roman" w:cs="Times New Roman"/>
                <w:color w:val="000000"/>
                <w:sz w:val="18"/>
              </w:rPr>
              <w:t>7.2 → 6.9 (−4.0%)</w:t>
            </w:r>
          </w:p>
        </w:tc>
        <w:tc>
          <w:tcPr>
            <w:tcW w:type="dxa" w:w="1282"/>
          </w:tcPr>
          <w:p>
            <w:pPr>
              <w:spacing w:after="20" w:line="240" w:lineRule="auto"/>
            </w:pPr>
            <w:r/>
            <w:r>
              <w:rPr>
                <w:rFonts w:ascii="Times New Roman" w:hAnsi="Times New Roman" w:eastAsia="Times New Roman" w:cs="Times New Roman"/>
                <w:color w:val="000000"/>
                <w:sz w:val="18"/>
              </w:rPr>
              <w:t>15.6 → 16.0 (+2.6%)</w:t>
            </w:r>
          </w:p>
        </w:tc>
        <w:tc>
          <w:tcPr>
            <w:tcW w:type="dxa" w:w="1731"/>
          </w:tcPr>
          <w:p>
            <w:pPr>
              <w:spacing w:after="20" w:line="240" w:lineRule="auto"/>
            </w:pPr>
            <w:r/>
            <w:r>
              <w:rPr>
                <w:rFonts w:ascii="Times New Roman" w:hAnsi="Times New Roman" w:eastAsia="Times New Roman" w:cs="Times New Roman"/>
                <w:color w:val="000000"/>
                <w:sz w:val="18"/>
              </w:rPr>
              <w:t>408.4 → 400.3 TWh (−2.0%)</w:t>
            </w:r>
          </w:p>
        </w:tc>
      </w:tr>
    </w:tbl>
    <w:p>
      <w:pPr>
        <w:spacing w:after="40"/>
      </w:pPr>
    </w:p>
    <w:p>
      <w:pPr>
        <w:keepNext/>
        <w:spacing w:before="120"/>
        <w:jc w:val="center"/>
      </w:pPr>
      <w:r>
        <w:drawing>
          <wp:inline xmlns:a="http://schemas.openxmlformats.org/drawingml/2006/main" xmlns:pic="http://schemas.openxmlformats.org/drawingml/2006/picture">
            <wp:extent cx="5832000" cy="2566080"/>
            <wp:docPr id="2" name="Picture 2"/>
            <wp:cNvGraphicFramePr>
              <a:graphicFrameLocks noChangeAspect="1"/>
            </wp:cNvGraphicFramePr>
            <a:graphic>
              <a:graphicData uri="http://schemas.openxmlformats.org/drawingml/2006/picture">
                <pic:pic>
                  <pic:nvPicPr>
                    <pic:cNvPr id="0" name="forecast_totals.png"/>
                    <pic:cNvPicPr/>
                  </pic:nvPicPr>
                  <pic:blipFill>
                    <a:blip r:embed="rId10"/>
                    <a:stretch>
                      <a:fillRect/>
                    </a:stretch>
                  </pic:blipFill>
                  <pic:spPr>
                    <a:xfrm>
                      <a:off x="0" y="0"/>
                      <a:ext cx="5832000" cy="256608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9.2: Total modelled renewable generation by region, last 12 months versus the 12-month forecast</w:t>
      </w:r>
    </w:p>
    <w:p>
      <w:pPr>
        <w:keepNext/>
        <w:spacing w:before="120"/>
        <w:jc w:val="center"/>
      </w:pPr>
      <w:r>
        <w:drawing>
          <wp:inline xmlns:a="http://schemas.openxmlformats.org/drawingml/2006/main" xmlns:pic="http://schemas.openxmlformats.org/drawingml/2006/picture">
            <wp:extent cx="5832000" cy="6614818"/>
            <wp:docPr id="3" name="Picture 3"/>
            <wp:cNvGraphicFramePr>
              <a:graphicFrameLocks noChangeAspect="1"/>
            </wp:cNvGraphicFramePr>
            <a:graphic>
              <a:graphicData uri="http://schemas.openxmlformats.org/drawingml/2006/picture">
                <pic:pic>
                  <pic:nvPicPr>
                    <pic:cNvPr id="0" name="c64_0.png"/>
                    <pic:cNvPicPr/>
                  </pic:nvPicPr>
                  <pic:blipFill>
                    <a:blip r:embed="rId11"/>
                    <a:stretch>
                      <a:fillRect/>
                    </a:stretch>
                  </pic:blipFill>
                  <pic:spPr>
                    <a:xfrm>
                      <a:off x="0" y="0"/>
                      <a:ext cx="5832000" cy="6614818"/>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9.3: South — history and 12-month forecast of each source</w:t>
      </w:r>
    </w:p>
    <w:p>
      <w:pPr>
        <w:keepNext/>
        <w:spacing w:before="120"/>
        <w:jc w:val="center"/>
      </w:pPr>
      <w:r>
        <w:drawing>
          <wp:inline xmlns:a="http://schemas.openxmlformats.org/drawingml/2006/main" xmlns:pic="http://schemas.openxmlformats.org/drawingml/2006/picture">
            <wp:extent cx="5832000" cy="3152962"/>
            <wp:docPr id="4" name="Picture 4"/>
            <wp:cNvGraphicFramePr>
              <a:graphicFrameLocks noChangeAspect="1"/>
            </wp:cNvGraphicFramePr>
            <a:graphic>
              <a:graphicData uri="http://schemas.openxmlformats.org/drawingml/2006/picture">
                <pic:pic>
                  <pic:nvPicPr>
                    <pic:cNvPr id="0" name="c55_0.png"/>
                    <pic:cNvPicPr/>
                  </pic:nvPicPr>
                  <pic:blipFill>
                    <a:blip r:embed="rId12"/>
                    <a:stretch>
                      <a:fillRect/>
                    </a:stretch>
                  </pic:blipFill>
                  <pic:spPr>
                    <a:xfrm>
                      <a:off x="0" y="0"/>
                      <a:ext cx="5832000" cy="315296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9.4: Northeast — separate 12-month forecasts by source</w:t>
      </w:r>
    </w:p>
    <w:p>
      <w:pPr>
        <w:keepNext/>
        <w:spacing w:before="120"/>
        <w:jc w:val="center"/>
      </w:pPr>
      <w:r>
        <w:drawing>
          <wp:inline xmlns:a="http://schemas.openxmlformats.org/drawingml/2006/main" xmlns:pic="http://schemas.openxmlformats.org/drawingml/2006/picture">
            <wp:extent cx="5832000" cy="5048655"/>
            <wp:docPr id="5" name="Picture 5"/>
            <wp:cNvGraphicFramePr>
              <a:graphicFrameLocks noChangeAspect="1"/>
            </wp:cNvGraphicFramePr>
            <a:graphic>
              <a:graphicData uri="http://schemas.openxmlformats.org/drawingml/2006/picture">
                <pic:pic>
                  <pic:nvPicPr>
                    <pic:cNvPr id="0" name="c61_0.png"/>
                    <pic:cNvPicPr/>
                  </pic:nvPicPr>
                  <pic:blipFill>
                    <a:blip r:embed="rId13"/>
                    <a:stretch>
                      <a:fillRect/>
                    </a:stretch>
                  </pic:blipFill>
                  <pic:spPr>
                    <a:xfrm>
                      <a:off x="0" y="0"/>
                      <a:ext cx="5832000" cy="504865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9.5: Midwest — history and 12-month forecast of each source</w:t>
      </w:r>
    </w:p>
    <w:p>
      <w:pPr>
        <w:keepNext/>
        <w:spacing w:before="120"/>
        <w:jc w:val="center"/>
      </w:pPr>
      <w:r>
        <w:drawing>
          <wp:inline xmlns:a="http://schemas.openxmlformats.org/drawingml/2006/main" xmlns:pic="http://schemas.openxmlformats.org/drawingml/2006/picture">
            <wp:extent cx="5832000" cy="8180456"/>
            <wp:docPr id="6" name="Picture 6"/>
            <wp:cNvGraphicFramePr>
              <a:graphicFrameLocks noChangeAspect="1"/>
            </wp:cNvGraphicFramePr>
            <a:graphic>
              <a:graphicData uri="http://schemas.openxmlformats.org/drawingml/2006/picture">
                <pic:pic>
                  <pic:nvPicPr>
                    <pic:cNvPr id="0" name="c125_0.png"/>
                    <pic:cNvPicPr/>
                  </pic:nvPicPr>
                  <pic:blipFill>
                    <a:blip r:embed="rId14"/>
                    <a:stretch>
                      <a:fillRect/>
                    </a:stretch>
                  </pic:blipFill>
                  <pic:spPr>
                    <a:xfrm>
                      <a:off x="0" y="0"/>
                      <a:ext cx="5832000" cy="8180456"/>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9.6: West — history and 12-month forecast of each source</w:t>
      </w:r>
    </w:p>
    <w:p>
      <w:pPr>
        <w:pStyle w:val="ListBullet"/>
      </w:pPr>
      <w:r>
        <w:rPr>
          <w:rFonts w:ascii="Times New Roman" w:hAnsi="Times New Roman" w:eastAsia="Times New Roman" w:cs="Times New Roman"/>
          <w:b/>
          <w:color w:val="000000"/>
        </w:rPr>
        <w:t>Solar drives growth everywhere</w:t>
      </w:r>
      <w:r>
        <w:rPr>
          <w:rFonts w:ascii="Times New Roman" w:hAnsi="Times New Roman" w:eastAsia="Times New Roman" w:cs="Times New Roman"/>
          <w:color w:val="000000"/>
        </w:rPr>
        <w:t>: +54.5% in the Midwest, +32.8% in the South, about +10% in the West and Northeast. In the South solar is forecast to overtake wind as the largest source.</w:t>
      </w:r>
    </w:p>
    <w:p>
      <w:pPr>
        <w:pStyle w:val="ListBullet"/>
      </w:pPr>
      <w:r>
        <w:rPr>
          <w:rFonts w:ascii="Times New Roman" w:hAnsi="Times New Roman" w:eastAsia="Times New Roman" w:cs="Times New Roman"/>
          <w:b/>
          <w:color w:val="000000"/>
        </w:rPr>
        <w:t>The South is expected to become the largest renewable producer</w:t>
      </w:r>
      <w:r>
        <w:rPr>
          <w:rFonts w:ascii="Times New Roman" w:hAnsi="Times New Roman" w:eastAsia="Times New Roman" w:cs="Times New Roman"/>
          <w:color w:val="000000"/>
        </w:rPr>
        <w:t xml:space="preserve"> (about 465 TWh), ahead of the West (about 400 TWh).</w:t>
      </w:r>
    </w:p>
    <w:p>
      <w:pPr>
        <w:pStyle w:val="ListBullet"/>
      </w:pPr>
      <w:r>
        <w:rPr>
          <w:rFonts w:ascii="Times New Roman" w:hAnsi="Times New Roman" w:eastAsia="Times New Roman" w:cs="Times New Roman"/>
          <w:b/>
          <w:color w:val="000000"/>
        </w:rPr>
        <w:t>The West is forecast to fall slightly (−2.0%)</w:t>
      </w:r>
      <w:r>
        <w:rPr>
          <w:rFonts w:ascii="Times New Roman" w:hAnsi="Times New Roman" w:eastAsia="Times New Roman" w:cs="Times New Roman"/>
          <w:color w:val="000000"/>
        </w:rPr>
        <w:t xml:space="preserve"> only because hydro is expected to return to normal after a very wet year (−15.2%); its wind and solar keep growing.</w:t>
      </w:r>
    </w:p>
    <w:p>
      <w:pPr>
        <w:pStyle w:val="ListBullet"/>
      </w:pPr>
      <w:r>
        <w:rPr>
          <w:rFonts w:ascii="Times New Roman" w:hAnsi="Times New Roman" w:eastAsia="Times New Roman" w:cs="Times New Roman"/>
          <w:b/>
          <w:color w:val="000000"/>
        </w:rPr>
        <w:t>The Northeast stays flat</w:t>
      </w:r>
      <w:r>
        <w:rPr>
          <w:rFonts w:ascii="Times New Roman" w:hAnsi="Times New Roman" w:eastAsia="Times New Roman" w:cs="Times New Roman"/>
          <w:color w:val="000000"/>
        </w:rPr>
        <w:t xml:space="preserve"> (+0.2%): solar and wind growth offsets declining hydro and biomass.</w:t>
      </w:r>
    </w:p>
    <w:p>
      <w:pPr>
        <w:pStyle w:val="ListBullet"/>
      </w:pPr>
      <w:r>
        <w:rPr>
          <w:rFonts w:ascii="Times New Roman" w:hAnsi="Times New Roman" w:eastAsia="Times New Roman" w:cs="Times New Roman"/>
          <w:color w:val="000000"/>
        </w:rPr>
        <w:t>Totals cover the modelled sources only, and growth forecasts for solar extend recent trends; they do not know about future capacity additions.</w:t>
      </w:r>
    </w:p>
    <w:p>
      <w:pPr>
        <w:pStyle w:val="Heading2"/>
      </w:pPr>
      <w:r>
        <w:rPr>
          <w:rFonts w:ascii="Times New Roman" w:hAnsi="Times New Roman" w:eastAsia="Times New Roman" w:cs="Times New Roman"/>
          <w:color w:val="000000"/>
        </w:rPr>
        <w:t>9.8 Hypotheses across regions</w:t>
      </w:r>
    </w:p>
    <w:p>
      <w:pPr>
        <w:keepNext/>
        <w:spacing w:before="120"/>
      </w:pPr>
      <w:r>
        <w:rPr>
          <w:rFonts w:ascii="Times New Roman" w:hAnsi="Times New Roman" w:eastAsia="Times New Roman" w:cs="Times New Roman"/>
          <w:b/>
          <w:color w:val="000000"/>
          <w:sz w:val="22"/>
        </w:rPr>
        <w:t>Table 9.10 Hypothesis verdicts</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1860"/>
            <w:shd w:val="clear" w:color="auto" w:fill="E7E7E7"/>
          </w:tcPr>
          <w:p>
            <w:pPr>
              <w:spacing w:after="20" w:line="240" w:lineRule="auto"/>
            </w:pPr>
            <w:r/>
            <w:r>
              <w:rPr>
                <w:rFonts w:ascii="Times New Roman" w:hAnsi="Times New Roman" w:eastAsia="Times New Roman" w:cs="Times New Roman"/>
                <w:b/>
                <w:color w:val="000000"/>
                <w:sz w:val="20"/>
              </w:rPr>
              <w:t>Hypothesis</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South</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Northeast</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Midwest</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West</w:t>
            </w:r>
          </w:p>
        </w:tc>
      </w:tr>
      <w:tr>
        <w:tc>
          <w:tcPr>
            <w:tcW w:type="dxa" w:w="1860"/>
          </w:tcPr>
          <w:p>
            <w:pPr>
              <w:spacing w:after="20" w:line="240" w:lineRule="auto"/>
            </w:pPr>
            <w:r/>
            <w:r>
              <w:rPr>
                <w:rFonts w:ascii="Times New Roman" w:hAnsi="Times New Roman" w:eastAsia="Times New Roman" w:cs="Times New Roman"/>
                <w:color w:val="000000"/>
                <w:sz w:val="20"/>
              </w:rPr>
              <w:t>Every source shows 12-month seasonality</w:t>
            </w:r>
          </w:p>
        </w:tc>
        <w:tc>
          <w:tcPr>
            <w:tcW w:type="dxa" w:w="1860"/>
          </w:tcPr>
          <w:p>
            <w:pPr>
              <w:spacing w:after="20" w:line="240" w:lineRule="auto"/>
            </w:pPr>
            <w:r/>
            <w:r>
              <w:rPr>
                <w:rFonts w:ascii="Times New Roman" w:hAnsi="Times New Roman" w:eastAsia="Times New Roman" w:cs="Times New Roman"/>
                <w:color w:val="000000"/>
                <w:sz w:val="20"/>
              </w:rPr>
              <w:t>Supported</w:t>
            </w:r>
          </w:p>
        </w:tc>
        <w:tc>
          <w:tcPr>
            <w:tcW w:type="dxa" w:w="1860"/>
          </w:tcPr>
          <w:p>
            <w:pPr>
              <w:spacing w:after="20" w:line="240" w:lineRule="auto"/>
            </w:pPr>
            <w:r/>
            <w:r>
              <w:rPr>
                <w:rFonts w:ascii="Times New Roman" w:hAnsi="Times New Roman" w:eastAsia="Times New Roman" w:cs="Times New Roman"/>
                <w:color w:val="000000"/>
                <w:sz w:val="20"/>
              </w:rPr>
              <w:t>Supported</w:t>
            </w:r>
          </w:p>
        </w:tc>
        <w:tc>
          <w:tcPr>
            <w:tcW w:type="dxa" w:w="1860"/>
          </w:tcPr>
          <w:p>
            <w:pPr>
              <w:spacing w:after="20" w:line="240" w:lineRule="auto"/>
            </w:pPr>
            <w:r/>
            <w:r>
              <w:rPr>
                <w:rFonts w:ascii="Times New Roman" w:hAnsi="Times New Roman" w:eastAsia="Times New Roman" w:cs="Times New Roman"/>
                <w:color w:val="000000"/>
                <w:sz w:val="20"/>
              </w:rPr>
              <w:t>Supported</w:t>
            </w:r>
          </w:p>
        </w:tc>
        <w:tc>
          <w:tcPr>
            <w:tcW w:type="dxa" w:w="1860"/>
          </w:tcPr>
          <w:p>
            <w:pPr>
              <w:spacing w:after="20" w:line="240" w:lineRule="auto"/>
            </w:pPr>
            <w:r/>
            <w:r>
              <w:rPr>
                <w:rFonts w:ascii="Times New Roman" w:hAnsi="Times New Roman" w:eastAsia="Times New Roman" w:cs="Times New Roman"/>
                <w:color w:val="000000"/>
                <w:sz w:val="20"/>
              </w:rPr>
              <w:t>Supported</w:t>
            </w:r>
          </w:p>
        </w:tc>
      </w:tr>
      <w:tr>
        <w:tc>
          <w:tcPr>
            <w:tcW w:type="dxa" w:w="1860"/>
          </w:tcPr>
          <w:p>
            <w:pPr>
              <w:spacing w:after="20" w:line="240" w:lineRule="auto"/>
            </w:pPr>
            <w:r/>
            <w:r>
              <w:rPr>
                <w:rFonts w:ascii="Times New Roman" w:hAnsi="Times New Roman" w:eastAsia="Times New Roman" w:cs="Times New Roman"/>
                <w:color w:val="000000"/>
                <w:sz w:val="20"/>
              </w:rPr>
              <w:t>Seasonal models beat the seasonal naive</w:t>
            </w:r>
          </w:p>
        </w:tc>
        <w:tc>
          <w:tcPr>
            <w:tcW w:type="dxa" w:w="1860"/>
          </w:tcPr>
          <w:p>
            <w:pPr>
              <w:spacing w:after="20" w:line="240" w:lineRule="auto"/>
            </w:pPr>
            <w:r/>
            <w:r>
              <w:rPr>
                <w:rFonts w:ascii="Times New Roman" w:hAnsi="Times New Roman" w:eastAsia="Times New Roman" w:cs="Times New Roman"/>
                <w:color w:val="000000"/>
                <w:sz w:val="20"/>
              </w:rPr>
              <w:t>Supported (Holt-Winters or SARIMA beat it for every source)</w:t>
            </w:r>
          </w:p>
        </w:tc>
        <w:tc>
          <w:tcPr>
            <w:tcW w:type="dxa" w:w="1860"/>
          </w:tcPr>
          <w:p>
            <w:pPr>
              <w:spacing w:after="20" w:line="240" w:lineRule="auto"/>
            </w:pPr>
            <w:r/>
            <w:r>
              <w:rPr>
                <w:rFonts w:ascii="Times New Roman" w:hAnsi="Times New Roman" w:eastAsia="Times New Roman" w:cs="Times New Roman"/>
                <w:color w:val="000000"/>
                <w:sz w:val="20"/>
              </w:rPr>
              <w:t>Partly (hydro, solar and biomass yes on the test year; wind no)</w:t>
            </w:r>
          </w:p>
        </w:tc>
        <w:tc>
          <w:tcPr>
            <w:tcW w:type="dxa" w:w="1860"/>
          </w:tcPr>
          <w:p>
            <w:pPr>
              <w:spacing w:after="20" w:line="240" w:lineRule="auto"/>
            </w:pPr>
            <w:r/>
            <w:r>
              <w:rPr>
                <w:rFonts w:ascii="Times New Roman" w:hAnsi="Times New Roman" w:eastAsia="Times New Roman" w:cs="Times New Roman"/>
                <w:color w:val="000000"/>
                <w:sz w:val="20"/>
              </w:rPr>
              <w:t>Partly (solar and hydro yes; biomass no; wind tied)</w:t>
            </w:r>
          </w:p>
        </w:tc>
        <w:tc>
          <w:tcPr>
            <w:tcW w:type="dxa" w:w="1860"/>
          </w:tcPr>
          <w:p>
            <w:pPr>
              <w:spacing w:after="20" w:line="240" w:lineRule="auto"/>
            </w:pPr>
            <w:r/>
            <w:r>
              <w:rPr>
                <w:rFonts w:ascii="Times New Roman" w:hAnsi="Times New Roman" w:eastAsia="Times New Roman" w:cs="Times New Roman"/>
                <w:color w:val="000000"/>
                <w:sz w:val="20"/>
              </w:rPr>
              <w:t>Supported for all five sources</w:t>
            </w:r>
          </w:p>
        </w:tc>
      </w:tr>
      <w:tr>
        <w:tc>
          <w:tcPr>
            <w:tcW w:type="dxa" w:w="1860"/>
          </w:tcPr>
          <w:p>
            <w:pPr>
              <w:spacing w:after="20" w:line="240" w:lineRule="auto"/>
            </w:pPr>
            <w:r/>
            <w:r>
              <w:rPr>
                <w:rFonts w:ascii="Times New Roman" w:hAnsi="Times New Roman" w:eastAsia="Times New Roman" w:cs="Times New Roman"/>
                <w:color w:val="000000"/>
                <w:sz w:val="20"/>
              </w:rPr>
              <w:t>Growing sources need growth-aware models</w:t>
            </w:r>
          </w:p>
        </w:tc>
        <w:tc>
          <w:tcPr>
            <w:tcW w:type="dxa" w:w="1860"/>
          </w:tcPr>
          <w:p>
            <w:pPr>
              <w:spacing w:after="20" w:line="240" w:lineRule="auto"/>
            </w:pPr>
            <w:r/>
            <w:r>
              <w:rPr>
                <w:rFonts w:ascii="Times New Roman" w:hAnsi="Times New Roman" w:eastAsia="Times New Roman" w:cs="Times New Roman"/>
                <w:color w:val="000000"/>
                <w:sz w:val="20"/>
              </w:rPr>
              <w:t>Supported (solar: trend-free models 25–36%)</w:t>
            </w:r>
          </w:p>
        </w:tc>
        <w:tc>
          <w:tcPr>
            <w:tcW w:type="dxa" w:w="1860"/>
          </w:tcPr>
          <w:p>
            <w:pPr>
              <w:spacing w:after="20" w:line="240" w:lineRule="auto"/>
            </w:pPr>
            <w:r/>
            <w:r>
              <w:rPr>
                <w:rFonts w:ascii="Times New Roman" w:hAnsi="Times New Roman" w:eastAsia="Times New Roman" w:cs="Times New Roman"/>
                <w:color w:val="000000"/>
                <w:sz w:val="20"/>
              </w:rPr>
              <w:t>Supported (plain ARIMA 79% for solar)</w:t>
            </w:r>
          </w:p>
        </w:tc>
        <w:tc>
          <w:tcPr>
            <w:tcW w:type="dxa" w:w="1860"/>
          </w:tcPr>
          <w:p>
            <w:pPr>
              <w:spacing w:after="20" w:line="240" w:lineRule="auto"/>
            </w:pPr>
            <w:r/>
            <w:r>
              <w:rPr>
                <w:rFonts w:ascii="Times New Roman" w:hAnsi="Times New Roman" w:eastAsia="Times New Roman" w:cs="Times New Roman"/>
                <w:color w:val="000000"/>
                <w:sz w:val="20"/>
              </w:rPr>
              <w:t>Supported (solar: trend-free models 47–58%)</w:t>
            </w:r>
          </w:p>
        </w:tc>
        <w:tc>
          <w:tcPr>
            <w:tcW w:type="dxa" w:w="1860"/>
          </w:tcPr>
          <w:p>
            <w:pPr>
              <w:spacing w:after="20" w:line="240" w:lineRule="auto"/>
            </w:pPr>
            <w:r/>
            <w:r>
              <w:rPr>
                <w:rFonts w:ascii="Times New Roman" w:hAnsi="Times New Roman" w:eastAsia="Times New Roman" w:cs="Times New Roman"/>
                <w:color w:val="000000"/>
                <w:sz w:val="20"/>
              </w:rPr>
              <w:t>Supported (solar 38–41%, wind 16–18%)</w:t>
            </w:r>
          </w:p>
        </w:tc>
      </w:tr>
      <w:tr>
        <w:tc>
          <w:tcPr>
            <w:tcW w:type="dxa" w:w="1860"/>
          </w:tcPr>
          <w:p>
            <w:pPr>
              <w:spacing w:after="20" w:line="240" w:lineRule="auto"/>
            </w:pPr>
            <w:r/>
            <w:r>
              <w:rPr>
                <w:rFonts w:ascii="Times New Roman" w:hAnsi="Times New Roman" w:eastAsia="Times New Roman" w:cs="Times New Roman"/>
                <w:color w:val="000000"/>
                <w:sz w:val="20"/>
              </w:rPr>
              <w:t>Hydro is the hardest source</w:t>
            </w:r>
          </w:p>
        </w:tc>
        <w:tc>
          <w:tcPr>
            <w:tcW w:type="dxa" w:w="1860"/>
          </w:tcPr>
          <w:p>
            <w:pPr>
              <w:spacing w:after="20" w:line="240" w:lineRule="auto"/>
            </w:pPr>
            <w:r/>
            <w:r>
              <w:rPr>
                <w:rFonts w:ascii="Times New Roman" w:hAnsi="Times New Roman" w:eastAsia="Times New Roman" w:cs="Times New Roman"/>
                <w:color w:val="000000"/>
                <w:sz w:val="20"/>
              </w:rPr>
              <w:t>Supported</w:t>
            </w:r>
          </w:p>
        </w:tc>
        <w:tc>
          <w:tcPr>
            <w:tcW w:type="dxa" w:w="1860"/>
          </w:tcPr>
          <w:p>
            <w:pPr>
              <w:spacing w:after="20" w:line="240" w:lineRule="auto"/>
            </w:pPr>
            <w:r/>
            <w:r>
              <w:rPr>
                <w:rFonts w:ascii="Times New Roman" w:hAnsi="Times New Roman" w:eastAsia="Times New Roman" w:cs="Times New Roman"/>
                <w:color w:val="000000"/>
                <w:sz w:val="20"/>
              </w:rPr>
              <w:t>Not on the test year; partly on rolling origin</w:t>
            </w:r>
          </w:p>
        </w:tc>
        <w:tc>
          <w:tcPr>
            <w:tcW w:type="dxa" w:w="1860"/>
          </w:tcPr>
          <w:p>
            <w:pPr>
              <w:spacing w:after="20" w:line="240" w:lineRule="auto"/>
            </w:pPr>
            <w:r/>
            <w:r>
              <w:rPr>
                <w:rFonts w:ascii="Times New Roman" w:hAnsi="Times New Roman" w:eastAsia="Times New Roman" w:cs="Times New Roman"/>
                <w:color w:val="000000"/>
                <w:sz w:val="20"/>
              </w:rPr>
              <w:t>Supported</w:t>
            </w:r>
          </w:p>
        </w:tc>
        <w:tc>
          <w:tcPr>
            <w:tcW w:type="dxa" w:w="1860"/>
          </w:tcPr>
          <w:p>
            <w:pPr>
              <w:spacing w:after="20" w:line="240" w:lineRule="auto"/>
            </w:pPr>
            <w:r/>
            <w:r>
              <w:rPr>
                <w:rFonts w:ascii="Times New Roman" w:hAnsi="Times New Roman" w:eastAsia="Times New Roman" w:cs="Times New Roman"/>
                <w:color w:val="000000"/>
                <w:sz w:val="20"/>
              </w:rPr>
              <w:t>Supported</w:t>
            </w:r>
          </w:p>
        </w:tc>
      </w:tr>
    </w:tbl>
    <w:p>
      <w:pPr>
        <w:spacing w:after="40"/>
      </w:pPr>
    </w:p>
    <w:p>
      <w:pPr>
        <w:pStyle w:val="Heading2"/>
      </w:pPr>
      <w:r>
        <w:rPr>
          <w:rFonts w:ascii="Times New Roman" w:hAnsi="Times New Roman" w:eastAsia="Times New Roman" w:cs="Times New Roman"/>
          <w:color w:val="000000"/>
        </w:rPr>
        <w:t>9.9 Key takeaways</w:t>
      </w:r>
    </w:p>
    <w:p>
      <w:pPr>
        <w:spacing w:after="60"/>
        <w:ind w:left="539" w:hanging="340"/>
      </w:pPr>
      <w:r>
        <w:rPr>
          <w:rFonts w:ascii="Times New Roman" w:hAnsi="Times New Roman" w:eastAsia="Times New Roman" w:cs="Times New Roman"/>
          <w:color w:val="000000"/>
        </w:rPr>
        <w:t xml:space="preserve">1.  </w:t>
      </w:r>
      <w:r>
        <w:rPr>
          <w:rFonts w:ascii="Times New Roman" w:hAnsi="Times New Roman" w:eastAsia="Times New Roman" w:cs="Times New Roman"/>
          <w:b/>
          <w:color w:val="000000"/>
        </w:rPr>
        <w:t>Model each source separately.</w:t>
      </w:r>
      <w:r>
        <w:rPr>
          <w:rFonts w:ascii="Times New Roman" w:hAnsi="Times New Roman" w:eastAsia="Times New Roman" w:cs="Times New Roman"/>
          <w:color w:val="000000"/>
        </w:rPr>
        <w:t xml:space="preserve"> Within every region the best model differs by source, and the same source needs different models in different regions.</w:t>
      </w:r>
    </w:p>
    <w:p>
      <w:pPr>
        <w:spacing w:after="60"/>
        <w:ind w:left="539" w:hanging="340"/>
      </w:pPr>
      <w:r>
        <w:rPr>
          <w:rFonts w:ascii="Times New Roman" w:hAnsi="Times New Roman" w:eastAsia="Times New Roman" w:cs="Times New Roman"/>
          <w:color w:val="000000"/>
        </w:rPr>
        <w:t xml:space="preserve">2.  </w:t>
      </w:r>
      <w:r>
        <w:rPr>
          <w:rFonts w:ascii="Times New Roman" w:hAnsi="Times New Roman" w:eastAsia="Times New Roman" w:cs="Times New Roman"/>
          <w:b/>
          <w:color w:val="000000"/>
        </w:rPr>
        <w:t>Forecastability follows the physics of the source:</w:t>
      </w:r>
      <w:r>
        <w:rPr>
          <w:rFonts w:ascii="Times New Roman" w:hAnsi="Times New Roman" w:eastAsia="Times New Roman" w:cs="Times New Roman"/>
          <w:color w:val="000000"/>
        </w:rPr>
        <w:t xml:space="preserve"> biomass and geothermal (steady, controllable plants) are easiest; hydro (weather-driven) is hardest; wind sits in between and depends on whether its growth is steady or slowing.</w:t>
      </w:r>
    </w:p>
    <w:p>
      <w:pPr>
        <w:spacing w:after="60"/>
        <w:ind w:left="539" w:hanging="340"/>
      </w:pPr>
      <w:r>
        <w:rPr>
          <w:rFonts w:ascii="Times New Roman" w:hAnsi="Times New Roman" w:eastAsia="Times New Roman" w:cs="Times New Roman"/>
          <w:color w:val="000000"/>
        </w:rPr>
        <w:t xml:space="preserve">3.  </w:t>
      </w:r>
      <w:r>
        <w:rPr>
          <w:rFonts w:ascii="Times New Roman" w:hAnsi="Times New Roman" w:eastAsia="Times New Roman" w:cs="Times New Roman"/>
          <w:b/>
          <w:color w:val="000000"/>
        </w:rPr>
        <w:t>Holt-Winters is the most successful family for wind; SARIMA for slow, stable series (biomass, geothermal); growth-aware models (tree models on growth rates, SARIMA with drift, Holt-Winters) for solar.</w:t>
      </w:r>
      <w:r>
        <w:rPr>
          <w:rFonts w:ascii="Times New Roman" w:hAnsi="Times New Roman" w:eastAsia="Times New Roman" w:cs="Times New Roman"/>
          <w:color w:val="000000"/>
        </w:rPr>
        <w:t xml:space="preserve"> Plain naive and SES forecasts fail for every growing source.</w:t>
      </w:r>
    </w:p>
    <w:p>
      <w:pPr>
        <w:spacing w:after="60"/>
        <w:ind w:left="539" w:hanging="340"/>
      </w:pPr>
      <w:r>
        <w:rPr>
          <w:rFonts w:ascii="Times New Roman" w:hAnsi="Times New Roman" w:eastAsia="Times New Roman" w:cs="Times New Roman"/>
          <w:color w:val="000000"/>
        </w:rPr>
        <w:t xml:space="preserve">4.  </w:t>
      </w:r>
      <w:r>
        <w:rPr>
          <w:rFonts w:ascii="Times New Roman" w:hAnsi="Times New Roman" w:eastAsia="Times New Roman" w:cs="Times New Roman"/>
          <w:b/>
          <w:color w:val="000000"/>
        </w:rPr>
        <w:t>Simple models remain hard to beat</w:t>
      </w:r>
      <w:r>
        <w:rPr>
          <w:rFonts w:ascii="Times New Roman" w:hAnsi="Times New Roman" w:eastAsia="Times New Roman" w:cs="Times New Roman"/>
          <w:color w:val="000000"/>
        </w:rPr>
        <w:t xml:space="preserve"> where the seasonal pattern is stable (Midwestern biomass, Northeastern wind).</w:t>
      </w:r>
    </w:p>
    <w:p>
      <w:pPr>
        <w:spacing w:after="60"/>
        <w:ind w:left="539" w:hanging="340"/>
      </w:pPr>
      <w:r>
        <w:rPr>
          <w:rFonts w:ascii="Times New Roman" w:hAnsi="Times New Roman" w:eastAsia="Times New Roman" w:cs="Times New Roman"/>
          <w:color w:val="000000"/>
        </w:rPr>
        <w:t xml:space="preserve">5.  </w:t>
      </w:r>
      <w:r>
        <w:rPr>
          <w:rFonts w:ascii="Times New Roman" w:hAnsi="Times New Roman" w:eastAsia="Times New Roman" w:cs="Times New Roman"/>
          <w:b/>
          <w:color w:val="000000"/>
        </w:rPr>
        <w:t>SARIMA is the statistically best-specified model everywhere</w:t>
      </w:r>
      <w:r>
        <w:rPr>
          <w:rFonts w:ascii="Times New Roman" w:hAnsi="Times New Roman" w:eastAsia="Times New Roman" w:cs="Times New Roman"/>
          <w:color w:val="000000"/>
        </w:rPr>
        <w:t xml:space="preserve"> (white-noise residuals), so its prediction intervals are the most trustworthy even where another model has a lower point error.</w:t>
      </w:r>
    </w:p>
    <w:p>
      <w:pPr>
        <w:spacing w:after="60"/>
        <w:ind w:left="539" w:hanging="340"/>
      </w:pPr>
      <w:r>
        <w:rPr>
          <w:rFonts w:ascii="Times New Roman" w:hAnsi="Times New Roman" w:eastAsia="Times New Roman" w:cs="Times New Roman"/>
          <w:color w:val="000000"/>
        </w:rPr>
        <w:t xml:space="preserve">6.  </w:t>
      </w:r>
      <w:r>
        <w:rPr>
          <w:rFonts w:ascii="Times New Roman" w:hAnsi="Times New Roman" w:eastAsia="Times New Roman" w:cs="Times New Roman"/>
          <w:b/>
          <w:color w:val="000000"/>
        </w:rPr>
        <w:t>Solar is reshaping every region's renewable mix</w:t>
      </w:r>
      <w:r>
        <w:rPr>
          <w:rFonts w:ascii="Times New Roman" w:hAnsi="Times New Roman" w:eastAsia="Times New Roman" w:cs="Times New Roman"/>
          <w:color w:val="000000"/>
        </w:rPr>
        <w:t xml:space="preserve"> and is the main source of expected growth over the next year.</w:t>
      </w:r>
    </w:p>
    <w:p>
      <w:pPr>
        <w:pStyle w:val="Heading2"/>
      </w:pPr>
      <w:r>
        <w:rPr>
          <w:rFonts w:ascii="Times New Roman" w:hAnsi="Times New Roman" w:eastAsia="Times New Roman" w:cs="Times New Roman"/>
          <w:color w:val="000000"/>
        </w:rPr>
        <w:t>9.10 Limitations and future work</w:t>
      </w:r>
    </w:p>
    <w:p>
      <w:pPr>
        <w:pStyle w:val="ListBullet"/>
      </w:pPr>
      <w:r>
        <w:rPr>
          <w:rFonts w:ascii="Times New Roman" w:hAnsi="Times New Roman" w:eastAsia="Times New Roman" w:cs="Times New Roman"/>
          <w:color w:val="000000"/>
        </w:rPr>
        <w:t>Single test windows (24 months, or 12 months in the Northeast) limit how firmly the models can be ranked; the Northeast's rolling-origin check shows rankings can change between years.</w:t>
      </w:r>
    </w:p>
    <w:p>
      <w:pPr>
        <w:pStyle w:val="ListBullet"/>
      </w:pPr>
      <w:r>
        <w:rPr>
          <w:rFonts w:ascii="Times New Roman" w:hAnsi="Times New Roman" w:eastAsia="Times New Roman" w:cs="Times New Roman"/>
          <w:color w:val="000000"/>
        </w:rPr>
        <w:t>No weather (rainfall, snowpack, wind speed, irradiance) or installed-capacity data are used; these are the most promising additions as SARIMAX or ML regressors, especially for hydro and solar.</w:t>
      </w:r>
    </w:p>
    <w:p>
      <w:pPr>
        <w:pStyle w:val="ListBullet"/>
      </w:pPr>
      <w:r>
        <w:rPr>
          <w:rFonts w:ascii="Times New Roman" w:hAnsi="Times New Roman" w:eastAsia="Times New Roman" w:cs="Times New Roman"/>
          <w:color w:val="000000"/>
        </w:rPr>
        <w:t>Rooftop solar is not included in the EIA series, which understates solar in sunny regions.</w:t>
      </w:r>
    </w:p>
    <w:p>
      <w:pPr>
        <w:pStyle w:val="ListBullet"/>
      </w:pPr>
      <w:r>
        <w:rPr>
          <w:rFonts w:ascii="Times New Roman" w:hAnsi="Times New Roman" w:eastAsia="Times New Roman" w:cs="Times New Roman"/>
          <w:color w:val="000000"/>
        </w:rPr>
        <w:t>Future work: rolling-origin evaluation for every region, probabilistic (interval) forecasts, and a common study window so that all four regions can be compared exactly.</w:t>
      </w:r>
    </w:p>
    <w:p>
      <w:pPr>
        <w:pStyle w:val="Heading2"/>
      </w:pPr>
      <w:r>
        <w:rPr>
          <w:rFonts w:ascii="Times New Roman" w:hAnsi="Times New Roman" w:eastAsia="Times New Roman" w:cs="Times New Roman"/>
          <w:color w:val="000000"/>
        </w:rPr>
        <w:t>9.11 Overall conclusion</w:t>
      </w:r>
    </w:p>
    <w:p>
      <w:pPr>
        <w:jc w:val="both"/>
      </w:pPr>
      <w:r>
        <w:rPr>
          <w:rFonts w:ascii="Times New Roman" w:hAnsi="Times New Roman" w:eastAsia="Times New Roman" w:cs="Times New Roman"/>
          <w:color w:val="000000"/>
        </w:rPr>
        <w:t>Renewable generation in the four U.S. Census regions is made of sources that behave very differently over time: flat, weather-driven hydro; fast but slowing wind; explosive solar; declining biomass; and steady geothermal in the West. Each source has its own trend, seasonal timing and SARIMA structure, and each region has its own mix. Forecast accuracy therefore depends far more on the source than on the method: the best models reach 3–6% error for biomass and geothermal, 5–11% for solar and wind, and 10–17% for hydro outside the Northeast. No single model is best everywhere, but SARIMA gives the most reliable statistical description of every series, Holt-Winters is the strongest for wind, and growth-aware models are essential for solar. Over the next year, solar growth is expected to lift total renewable output strongly in the South (+16.9%) and Midwest (+13.5%), while the Northeast stays flat and the West dips slightly as hydro returns to normal.</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360" w:after="0"/>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imes New Roman" w:hAnsi="Times New Roman" w:eastAsia="Times New Roman" w:cs="Times New Roman"/>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