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02655" w14:textId="77777777" w:rsidR="00DF2483" w:rsidRDefault="00DF2483" w:rsidP="00DF2483">
      <w:pPr>
        <w:pStyle w:val="Heading2"/>
      </w:pPr>
      <w:bookmarkStart w:id="0" w:name="_Toc62545438"/>
      <w:r>
        <w:t>Missing HTTP Security Headers</w:t>
      </w:r>
      <w:bookmarkEnd w:id="0"/>
    </w:p>
    <w:tbl>
      <w:tblPr>
        <w:tblStyle w:val="TableGrid"/>
        <w:tblW w:w="91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4"/>
        <w:gridCol w:w="1296"/>
        <w:gridCol w:w="236"/>
        <w:gridCol w:w="4470"/>
        <w:gridCol w:w="1794"/>
      </w:tblGrid>
      <w:tr w:rsidR="00DF2483" w14:paraId="6AB6B7AE" w14:textId="77777777" w:rsidTr="00DF2483">
        <w:tc>
          <w:tcPr>
            <w:tcW w:w="1384" w:type="dxa"/>
            <w:shd w:val="clear" w:color="auto" w:fill="7F7F7F"/>
          </w:tcPr>
          <w:p w14:paraId="737B3C67" w14:textId="77777777" w:rsidR="00DF2483" w:rsidRDefault="00DF2483">
            <w:pPr>
              <w:pStyle w:val="emptycell"/>
            </w:pPr>
          </w:p>
        </w:tc>
        <w:tc>
          <w:tcPr>
            <w:tcW w:w="1296" w:type="dxa"/>
            <w:shd w:val="clear" w:color="auto" w:fill="7F7F7F"/>
          </w:tcPr>
          <w:p w14:paraId="59C93E17" w14:textId="77777777" w:rsidR="00DF2483" w:rsidRDefault="00DF2483">
            <w:pPr>
              <w:pStyle w:val="emptycell"/>
            </w:pPr>
          </w:p>
        </w:tc>
        <w:tc>
          <w:tcPr>
            <w:tcW w:w="236" w:type="dxa"/>
            <w:shd w:val="clear" w:color="auto" w:fill="7F7F7F"/>
          </w:tcPr>
          <w:p w14:paraId="185FF02B" w14:textId="77777777" w:rsidR="00DF2483" w:rsidRDefault="00DF2483">
            <w:pPr>
              <w:pStyle w:val="emptycell"/>
            </w:pPr>
          </w:p>
        </w:tc>
        <w:tc>
          <w:tcPr>
            <w:tcW w:w="4470" w:type="dxa"/>
            <w:shd w:val="clear" w:color="auto" w:fill="7F7F7F"/>
          </w:tcPr>
          <w:p w14:paraId="338D661B" w14:textId="77777777" w:rsidR="00DF2483" w:rsidRDefault="00DF2483">
            <w:pPr>
              <w:pStyle w:val="emptycell"/>
            </w:pPr>
          </w:p>
        </w:tc>
        <w:tc>
          <w:tcPr>
            <w:tcW w:w="1794" w:type="dxa"/>
            <w:shd w:val="clear" w:color="auto" w:fill="7F7F7F"/>
          </w:tcPr>
          <w:p w14:paraId="5292F465" w14:textId="77777777" w:rsidR="00DF2483" w:rsidRDefault="00DF2483">
            <w:pPr>
              <w:pStyle w:val="emptycell"/>
            </w:pPr>
          </w:p>
        </w:tc>
      </w:tr>
      <w:tr w:rsidR="00DF2483" w14:paraId="445D6D10" w14:textId="77777777" w:rsidTr="00DF2483">
        <w:trPr>
          <w:trHeight w:val="185"/>
        </w:trPr>
        <w:tc>
          <w:tcPr>
            <w:tcW w:w="1384" w:type="dxa"/>
            <w:tcBorders>
              <w:top w:val="single" w:sz="8" w:space="0" w:color="7F7F7F" w:themeColor="text1" w:themeTint="80"/>
              <w:left w:val="nil"/>
              <w:bottom w:val="single" w:sz="8" w:space="0" w:color="7F7F7F" w:themeColor="text1" w:themeTint="80"/>
              <w:right w:val="nil"/>
            </w:tcBorders>
            <w:shd w:val="clear" w:color="auto" w:fill="F7F7F7"/>
            <w:hideMark/>
          </w:tcPr>
          <w:p w14:paraId="7EB18B1D" w14:textId="77777777" w:rsidR="00DF2483" w:rsidRDefault="00DF2483">
            <w:pPr>
              <w:pStyle w:val="IssueTableTitle"/>
              <w:jc w:val="left"/>
            </w:pPr>
            <w:r>
              <w:t>Category</w:t>
            </w:r>
          </w:p>
        </w:tc>
        <w:tc>
          <w:tcPr>
            <w:tcW w:w="7796" w:type="dxa"/>
            <w:gridSpan w:val="4"/>
            <w:tcBorders>
              <w:top w:val="single" w:sz="8" w:space="0" w:color="7F7F7F" w:themeColor="text1" w:themeTint="80"/>
              <w:left w:val="nil"/>
              <w:bottom w:val="single" w:sz="8" w:space="0" w:color="7F7F7F" w:themeColor="text1" w:themeTint="80"/>
              <w:right w:val="nil"/>
            </w:tcBorders>
            <w:shd w:val="clear" w:color="auto" w:fill="F7F7F7"/>
            <w:hideMark/>
          </w:tcPr>
          <w:p w14:paraId="7C32CFDE" w14:textId="77777777" w:rsidR="00DF2483" w:rsidRDefault="00DF2483">
            <w:pPr>
              <w:pStyle w:val="IssueTableContent"/>
            </w:pPr>
            <w:r>
              <w:t>Protection Mechanism Failure [CWE-693]</w:t>
            </w:r>
          </w:p>
        </w:tc>
      </w:tr>
      <w:tr w:rsidR="00DF2483" w14:paraId="45AA2F8D" w14:textId="77777777" w:rsidTr="00DF2483">
        <w:trPr>
          <w:trHeight w:val="185"/>
        </w:trPr>
        <w:tc>
          <w:tcPr>
            <w:tcW w:w="1384" w:type="dxa"/>
            <w:tcBorders>
              <w:top w:val="single" w:sz="8" w:space="0" w:color="7F7F7F" w:themeColor="text1" w:themeTint="80"/>
              <w:left w:val="nil"/>
              <w:bottom w:val="single" w:sz="8" w:space="0" w:color="7F7F7F" w:themeColor="text1" w:themeTint="80"/>
              <w:right w:val="nil"/>
            </w:tcBorders>
            <w:shd w:val="clear" w:color="auto" w:fill="F7F7F7"/>
            <w:hideMark/>
          </w:tcPr>
          <w:p w14:paraId="4F2DCA90" w14:textId="77777777" w:rsidR="00DF2483" w:rsidRDefault="00DF2483">
            <w:pPr>
              <w:pStyle w:val="IssueTableTitle"/>
              <w:jc w:val="left"/>
            </w:pPr>
            <w:r>
              <w:t>Status</w:t>
            </w:r>
          </w:p>
        </w:tc>
        <w:tc>
          <w:tcPr>
            <w:tcW w:w="7796" w:type="dxa"/>
            <w:gridSpan w:val="4"/>
            <w:tcBorders>
              <w:top w:val="single" w:sz="8" w:space="0" w:color="7F7F7F" w:themeColor="text1" w:themeTint="80"/>
              <w:left w:val="nil"/>
              <w:bottom w:val="single" w:sz="8" w:space="0" w:color="7F7F7F" w:themeColor="text1" w:themeTint="80"/>
              <w:right w:val="nil"/>
            </w:tcBorders>
            <w:shd w:val="clear" w:color="auto" w:fill="F7F7F7"/>
            <w:hideMark/>
          </w:tcPr>
          <w:p w14:paraId="2AC0E8A8" w14:textId="77777777" w:rsidR="00DF2483" w:rsidRDefault="00DF2483">
            <w:pPr>
              <w:pStyle w:val="IssueTableContent"/>
            </w:pPr>
            <w:r>
              <w:t>Open</w:t>
            </w:r>
          </w:p>
        </w:tc>
      </w:tr>
      <w:tr w:rsidR="00DF2483" w14:paraId="53510933" w14:textId="77777777" w:rsidTr="00DF2483">
        <w:trPr>
          <w:trHeight w:val="185"/>
        </w:trPr>
        <w:tc>
          <w:tcPr>
            <w:tcW w:w="1384" w:type="dxa"/>
            <w:tcBorders>
              <w:top w:val="single" w:sz="8" w:space="0" w:color="7F7F7F" w:themeColor="text1" w:themeTint="80"/>
              <w:left w:val="nil"/>
              <w:bottom w:val="single" w:sz="8" w:space="0" w:color="7F7F7F" w:themeColor="text1" w:themeTint="80"/>
              <w:right w:val="nil"/>
            </w:tcBorders>
            <w:shd w:val="clear" w:color="auto" w:fill="F7F7F7"/>
            <w:hideMark/>
          </w:tcPr>
          <w:p w14:paraId="2CEF08BE" w14:textId="77777777" w:rsidR="00DF2483" w:rsidRDefault="00DF2483">
            <w:pPr>
              <w:pStyle w:val="IssueTableTitle"/>
              <w:jc w:val="left"/>
            </w:pPr>
            <w:r>
              <w:t>Impact</w:t>
            </w:r>
          </w:p>
        </w:tc>
        <w:tc>
          <w:tcPr>
            <w:tcW w:w="7796" w:type="dxa"/>
            <w:gridSpan w:val="4"/>
            <w:tcBorders>
              <w:top w:val="single" w:sz="8" w:space="0" w:color="7F7F7F" w:themeColor="text1" w:themeTint="80"/>
              <w:left w:val="nil"/>
              <w:bottom w:val="single" w:sz="8" w:space="0" w:color="7F7F7F" w:themeColor="text1" w:themeTint="80"/>
              <w:right w:val="nil"/>
            </w:tcBorders>
            <w:shd w:val="clear" w:color="auto" w:fill="F7F7F7"/>
            <w:hideMark/>
          </w:tcPr>
          <w:p w14:paraId="692F36AA" w14:textId="77777777" w:rsidR="00DF2483" w:rsidRDefault="00DF2483">
            <w:pPr>
              <w:pStyle w:val="IssueTableContent"/>
            </w:pPr>
            <w:r>
              <w:t>Minor</w:t>
            </w:r>
          </w:p>
        </w:tc>
      </w:tr>
      <w:tr w:rsidR="00DF2483" w14:paraId="0F832B77" w14:textId="77777777" w:rsidTr="00DF2483">
        <w:trPr>
          <w:trHeight w:val="185"/>
        </w:trPr>
        <w:tc>
          <w:tcPr>
            <w:tcW w:w="1384" w:type="dxa"/>
            <w:tcBorders>
              <w:top w:val="single" w:sz="8" w:space="0" w:color="7F7F7F" w:themeColor="text1" w:themeTint="80"/>
              <w:left w:val="nil"/>
              <w:bottom w:val="single" w:sz="8" w:space="0" w:color="7F7F7F" w:themeColor="text1" w:themeTint="80"/>
              <w:right w:val="nil"/>
            </w:tcBorders>
            <w:shd w:val="clear" w:color="auto" w:fill="F7F7F7"/>
            <w:hideMark/>
          </w:tcPr>
          <w:p w14:paraId="66DAC384" w14:textId="77777777" w:rsidR="00DF2483" w:rsidRDefault="00DF2483">
            <w:pPr>
              <w:pStyle w:val="IssueTableTitle"/>
              <w:jc w:val="left"/>
            </w:pPr>
            <w:r>
              <w:t>Likelihood</w:t>
            </w:r>
          </w:p>
        </w:tc>
        <w:tc>
          <w:tcPr>
            <w:tcW w:w="7796" w:type="dxa"/>
            <w:gridSpan w:val="4"/>
            <w:tcBorders>
              <w:top w:val="single" w:sz="8" w:space="0" w:color="7F7F7F" w:themeColor="text1" w:themeTint="80"/>
              <w:left w:val="nil"/>
              <w:bottom w:val="single" w:sz="8" w:space="0" w:color="7F7F7F" w:themeColor="text1" w:themeTint="80"/>
              <w:right w:val="nil"/>
            </w:tcBorders>
            <w:shd w:val="clear" w:color="auto" w:fill="F7F7F7"/>
            <w:hideMark/>
          </w:tcPr>
          <w:p w14:paraId="718B7E8F" w14:textId="77777777" w:rsidR="00DF2483" w:rsidRDefault="00DF2483">
            <w:pPr>
              <w:pStyle w:val="IssueTableContent"/>
            </w:pPr>
            <w:r>
              <w:t>Very Unlikely</w:t>
            </w:r>
          </w:p>
        </w:tc>
      </w:tr>
      <w:tr w:rsidR="00DF2483" w14:paraId="6452CABB" w14:textId="77777777" w:rsidTr="00DF2483">
        <w:trPr>
          <w:trHeight w:val="185"/>
        </w:trPr>
        <w:tc>
          <w:tcPr>
            <w:tcW w:w="1384" w:type="dxa"/>
            <w:tcBorders>
              <w:top w:val="single" w:sz="8" w:space="0" w:color="7F7F7F" w:themeColor="text1" w:themeTint="80"/>
              <w:left w:val="nil"/>
              <w:bottom w:val="single" w:sz="8" w:space="0" w:color="7F7F7F" w:themeColor="text1" w:themeTint="80"/>
              <w:right w:val="nil"/>
            </w:tcBorders>
            <w:shd w:val="clear" w:color="auto" w:fill="7F7F7F" w:themeFill="text1" w:themeFillTint="80"/>
            <w:hideMark/>
          </w:tcPr>
          <w:p w14:paraId="36271CEB" w14:textId="77777777" w:rsidR="00DF2483" w:rsidRDefault="00DF2483">
            <w:pPr>
              <w:pStyle w:val="IssueTableTitle"/>
              <w:jc w:val="left"/>
              <w:rPr>
                <w:color w:val="FFFFFF" w:themeColor="background1"/>
              </w:rPr>
            </w:pPr>
            <w:r>
              <w:rPr>
                <w:color w:val="FFFFFF" w:themeColor="background1"/>
              </w:rPr>
              <w:t>Risk</w:t>
            </w:r>
          </w:p>
        </w:tc>
        <w:tc>
          <w:tcPr>
            <w:tcW w:w="7796" w:type="dxa"/>
            <w:gridSpan w:val="4"/>
            <w:tcBorders>
              <w:top w:val="single" w:sz="8" w:space="0" w:color="7F7F7F" w:themeColor="text1" w:themeTint="80"/>
              <w:left w:val="nil"/>
              <w:bottom w:val="single" w:sz="8" w:space="0" w:color="7F7F7F" w:themeColor="text1" w:themeTint="80"/>
              <w:right w:val="nil"/>
            </w:tcBorders>
            <w:shd w:val="clear" w:color="auto" w:fill="7F7F7F" w:themeFill="text1" w:themeFillTint="80"/>
            <w:hideMark/>
          </w:tcPr>
          <w:p w14:paraId="158D2F0D" w14:textId="77777777" w:rsidR="00DF2483" w:rsidRDefault="00DF2483">
            <w:pPr>
              <w:pStyle w:val="IssueTableContent"/>
              <w:rPr>
                <w:color w:val="FFFFFF" w:themeColor="background1"/>
              </w:rPr>
            </w:pPr>
            <w:r>
              <w:rPr>
                <w:color w:val="FFFFFF" w:themeColor="background1"/>
              </w:rPr>
              <w:t>Information</w:t>
            </w:r>
          </w:p>
        </w:tc>
      </w:tr>
    </w:tbl>
    <w:p w14:paraId="57384CF0" w14:textId="77777777" w:rsidR="00DF2483" w:rsidRDefault="00DF2483" w:rsidP="00DF2483">
      <w:r>
        <w:t>HTTP Security headers are a method of improving the default level of security offered by a web browser. Thereby lack of a security header does not constitute a vulnerability itself but is considered lack of hardening. It is recommended that all available headers be reviewed and where possible implemented.</w:t>
      </w:r>
    </w:p>
    <w:p w14:paraId="25EC6755" w14:textId="77777777" w:rsidR="00DF2483" w:rsidRDefault="00DF2483" w:rsidP="00DF2483">
      <w:r>
        <w:t xml:space="preserve">The following headers were either missing or not set to a recommended value: </w:t>
      </w:r>
    </w:p>
    <w:tbl>
      <w:tblPr>
        <w:tblStyle w:val="TableGrid"/>
        <w:tblW w:w="0" w:type="auto"/>
        <w:tblInd w:w="0" w:type="dxa"/>
        <w:tblLook w:val="04A0" w:firstRow="1" w:lastRow="0" w:firstColumn="1" w:lastColumn="0" w:noHBand="0" w:noVBand="1"/>
      </w:tblPr>
      <w:tblGrid>
        <w:gridCol w:w="2689"/>
        <w:gridCol w:w="5951"/>
      </w:tblGrid>
      <w:tr w:rsidR="00DF2483" w14:paraId="7F160566" w14:textId="77777777" w:rsidTr="00DF2483">
        <w:tc>
          <w:tcPr>
            <w:tcW w:w="2689" w:type="dxa"/>
            <w:tcBorders>
              <w:top w:val="single" w:sz="4" w:space="0" w:color="auto"/>
              <w:left w:val="single" w:sz="4" w:space="0" w:color="auto"/>
              <w:bottom w:val="single" w:sz="4" w:space="0" w:color="auto"/>
              <w:right w:val="single" w:sz="4" w:space="0" w:color="auto"/>
            </w:tcBorders>
            <w:hideMark/>
          </w:tcPr>
          <w:p w14:paraId="7945010A" w14:textId="77777777" w:rsidR="00DF2483" w:rsidRDefault="00DF2483">
            <w:pPr>
              <w:spacing w:line="240" w:lineRule="auto"/>
            </w:pPr>
            <w:r>
              <w:t xml:space="preserve">Header </w:t>
            </w:r>
          </w:p>
        </w:tc>
        <w:tc>
          <w:tcPr>
            <w:tcW w:w="5951" w:type="dxa"/>
            <w:tcBorders>
              <w:top w:val="single" w:sz="4" w:space="0" w:color="auto"/>
              <w:left w:val="single" w:sz="4" w:space="0" w:color="auto"/>
              <w:bottom w:val="single" w:sz="4" w:space="0" w:color="auto"/>
              <w:right w:val="single" w:sz="4" w:space="0" w:color="auto"/>
            </w:tcBorders>
            <w:hideMark/>
          </w:tcPr>
          <w:p w14:paraId="6745E2AD" w14:textId="77777777" w:rsidR="00DF2483" w:rsidRDefault="00DF2483">
            <w:pPr>
              <w:spacing w:line="240" w:lineRule="auto"/>
            </w:pPr>
            <w:r>
              <w:t xml:space="preserve">Description </w:t>
            </w:r>
          </w:p>
        </w:tc>
      </w:tr>
      <w:tr w:rsidR="00DF2483" w14:paraId="2A45A265" w14:textId="77777777" w:rsidTr="00DF2483">
        <w:tc>
          <w:tcPr>
            <w:tcW w:w="2689" w:type="dxa"/>
            <w:tcBorders>
              <w:top w:val="single" w:sz="4" w:space="0" w:color="auto"/>
              <w:left w:val="single" w:sz="4" w:space="0" w:color="auto"/>
              <w:bottom w:val="single" w:sz="4" w:space="0" w:color="auto"/>
              <w:right w:val="single" w:sz="4" w:space="0" w:color="auto"/>
            </w:tcBorders>
            <w:hideMark/>
          </w:tcPr>
          <w:p w14:paraId="0ADA123E" w14:textId="77777777" w:rsidR="00DF2483" w:rsidRDefault="00DF2483">
            <w:pPr>
              <w:spacing w:line="240" w:lineRule="auto"/>
              <w:jc w:val="left"/>
            </w:pPr>
            <w:r>
              <w:t xml:space="preserve">Strict Transport Security </w:t>
            </w:r>
          </w:p>
        </w:tc>
        <w:tc>
          <w:tcPr>
            <w:tcW w:w="5951" w:type="dxa"/>
            <w:tcBorders>
              <w:top w:val="single" w:sz="4" w:space="0" w:color="auto"/>
              <w:left w:val="single" w:sz="4" w:space="0" w:color="auto"/>
              <w:bottom w:val="single" w:sz="4" w:space="0" w:color="auto"/>
              <w:right w:val="single" w:sz="4" w:space="0" w:color="auto"/>
            </w:tcBorders>
            <w:hideMark/>
          </w:tcPr>
          <w:p w14:paraId="6AFA957C" w14:textId="77777777" w:rsidR="00DF2483" w:rsidRDefault="00DF2483">
            <w:pPr>
              <w:spacing w:line="240" w:lineRule="auto"/>
            </w:pPr>
            <w:r>
              <w:t>Strict Transport Security enforces the use of HTTPS in the web browser, ensuring that no information is sent for the domain (and optionally subdomains too), even if a link to a plain HTTP page is included or the user unintentionally navigates to a HTTP link. This additionally mitigates the risk of cookies without the secure flag set, by enforcing HTTPS only.</w:t>
            </w:r>
          </w:p>
        </w:tc>
      </w:tr>
      <w:tr w:rsidR="00DF2483" w14:paraId="493998E6" w14:textId="77777777" w:rsidTr="00DF2483">
        <w:tc>
          <w:tcPr>
            <w:tcW w:w="2689" w:type="dxa"/>
            <w:tcBorders>
              <w:top w:val="single" w:sz="4" w:space="0" w:color="auto"/>
              <w:left w:val="single" w:sz="4" w:space="0" w:color="auto"/>
              <w:bottom w:val="single" w:sz="4" w:space="0" w:color="auto"/>
              <w:right w:val="single" w:sz="4" w:space="0" w:color="auto"/>
            </w:tcBorders>
            <w:hideMark/>
          </w:tcPr>
          <w:p w14:paraId="4C73C958" w14:textId="77777777" w:rsidR="00DF2483" w:rsidRDefault="00DF2483">
            <w:pPr>
              <w:spacing w:line="240" w:lineRule="auto"/>
              <w:jc w:val="left"/>
            </w:pPr>
            <w:r>
              <w:t>Content Security Policy</w:t>
            </w:r>
          </w:p>
        </w:tc>
        <w:tc>
          <w:tcPr>
            <w:tcW w:w="5951" w:type="dxa"/>
            <w:tcBorders>
              <w:top w:val="single" w:sz="4" w:space="0" w:color="auto"/>
              <w:left w:val="single" w:sz="4" w:space="0" w:color="auto"/>
              <w:bottom w:val="single" w:sz="4" w:space="0" w:color="auto"/>
              <w:right w:val="single" w:sz="4" w:space="0" w:color="auto"/>
            </w:tcBorders>
            <w:hideMark/>
          </w:tcPr>
          <w:p w14:paraId="110007D8" w14:textId="77777777" w:rsidR="00DF2483" w:rsidRDefault="00DF2483">
            <w:pPr>
              <w:spacing w:line="240" w:lineRule="auto"/>
            </w:pPr>
            <w:r>
              <w:t>Content Security Policy allows you to whitelist web application resource locations, including where scripts can be loaded from and where the application may be framed. This can therefore mitigate reflected cross-site scripting attacks as well as issues such as Clickjacking.</w:t>
            </w:r>
          </w:p>
        </w:tc>
      </w:tr>
      <w:tr w:rsidR="00DF2483" w14:paraId="48477161" w14:textId="77777777" w:rsidTr="00DF2483">
        <w:tc>
          <w:tcPr>
            <w:tcW w:w="2689" w:type="dxa"/>
            <w:tcBorders>
              <w:top w:val="single" w:sz="4" w:space="0" w:color="auto"/>
              <w:left w:val="single" w:sz="4" w:space="0" w:color="auto"/>
              <w:bottom w:val="single" w:sz="4" w:space="0" w:color="auto"/>
              <w:right w:val="single" w:sz="4" w:space="0" w:color="auto"/>
            </w:tcBorders>
            <w:hideMark/>
          </w:tcPr>
          <w:p w14:paraId="41AB8892" w14:textId="77777777" w:rsidR="00DF2483" w:rsidRDefault="00DF2483">
            <w:pPr>
              <w:spacing w:line="240" w:lineRule="auto"/>
            </w:pPr>
            <w:r>
              <w:t>X-Content-Type-Options</w:t>
            </w:r>
          </w:p>
        </w:tc>
        <w:tc>
          <w:tcPr>
            <w:tcW w:w="5951" w:type="dxa"/>
            <w:tcBorders>
              <w:top w:val="single" w:sz="4" w:space="0" w:color="auto"/>
              <w:left w:val="single" w:sz="4" w:space="0" w:color="auto"/>
              <w:bottom w:val="single" w:sz="4" w:space="0" w:color="auto"/>
              <w:right w:val="single" w:sz="4" w:space="0" w:color="auto"/>
            </w:tcBorders>
            <w:hideMark/>
          </w:tcPr>
          <w:p w14:paraId="6CA31AC9" w14:textId="77777777" w:rsidR="00DF2483" w:rsidRDefault="00DF2483">
            <w:pPr>
              <w:spacing w:line="240" w:lineRule="auto"/>
            </w:pPr>
            <w:r>
              <w:t>X-Content-Type-Options prevents a browser from attempting to enumerate the MIME-type of a server response, thereby preventing some types of cross-site scripting attack.</w:t>
            </w:r>
          </w:p>
        </w:tc>
      </w:tr>
      <w:tr w:rsidR="00DF2483" w14:paraId="69DE4777" w14:textId="77777777" w:rsidTr="00DF2483">
        <w:tc>
          <w:tcPr>
            <w:tcW w:w="2689" w:type="dxa"/>
            <w:tcBorders>
              <w:top w:val="single" w:sz="4" w:space="0" w:color="auto"/>
              <w:left w:val="single" w:sz="4" w:space="0" w:color="auto"/>
              <w:bottom w:val="single" w:sz="4" w:space="0" w:color="auto"/>
              <w:right w:val="single" w:sz="4" w:space="0" w:color="auto"/>
            </w:tcBorders>
            <w:hideMark/>
          </w:tcPr>
          <w:p w14:paraId="77D5607D" w14:textId="77777777" w:rsidR="00DF2483" w:rsidRDefault="00DF2483">
            <w:pPr>
              <w:spacing w:line="240" w:lineRule="auto"/>
            </w:pPr>
            <w:r>
              <w:t>Referrer Policy</w:t>
            </w:r>
          </w:p>
        </w:tc>
        <w:tc>
          <w:tcPr>
            <w:tcW w:w="5951" w:type="dxa"/>
            <w:tcBorders>
              <w:top w:val="single" w:sz="4" w:space="0" w:color="auto"/>
              <w:left w:val="single" w:sz="4" w:space="0" w:color="auto"/>
              <w:bottom w:val="single" w:sz="4" w:space="0" w:color="auto"/>
              <w:right w:val="single" w:sz="4" w:space="0" w:color="auto"/>
            </w:tcBorders>
            <w:hideMark/>
          </w:tcPr>
          <w:p w14:paraId="4FE39BD6" w14:textId="77777777" w:rsidR="00DF2483" w:rsidRDefault="00DF2483">
            <w:pPr>
              <w:spacing w:line="240" w:lineRule="auto"/>
            </w:pPr>
            <w:r>
              <w:t>Referrer Policy allows a web application to reduce when the “referrer” header is set. Thereby preventing sensitive data in the URL from being transmitted to third-parties or over insecure connections.</w:t>
            </w:r>
          </w:p>
        </w:tc>
      </w:tr>
      <w:tr w:rsidR="00DF2483" w14:paraId="015DAB64" w14:textId="77777777" w:rsidTr="00DF2483">
        <w:tc>
          <w:tcPr>
            <w:tcW w:w="2689" w:type="dxa"/>
            <w:tcBorders>
              <w:top w:val="single" w:sz="4" w:space="0" w:color="auto"/>
              <w:left w:val="single" w:sz="4" w:space="0" w:color="auto"/>
              <w:bottom w:val="single" w:sz="4" w:space="0" w:color="auto"/>
              <w:right w:val="single" w:sz="4" w:space="0" w:color="auto"/>
            </w:tcBorders>
            <w:hideMark/>
          </w:tcPr>
          <w:p w14:paraId="0F68A18F" w14:textId="77777777" w:rsidR="00DF2483" w:rsidRDefault="00DF2483">
            <w:pPr>
              <w:spacing w:line="240" w:lineRule="auto"/>
            </w:pPr>
            <w:r>
              <w:t>X-Frame-Options</w:t>
            </w:r>
          </w:p>
        </w:tc>
        <w:tc>
          <w:tcPr>
            <w:tcW w:w="5951" w:type="dxa"/>
            <w:tcBorders>
              <w:top w:val="single" w:sz="4" w:space="0" w:color="auto"/>
              <w:left w:val="single" w:sz="4" w:space="0" w:color="auto"/>
              <w:bottom w:val="single" w:sz="4" w:space="0" w:color="auto"/>
              <w:right w:val="single" w:sz="4" w:space="0" w:color="auto"/>
            </w:tcBorders>
            <w:hideMark/>
          </w:tcPr>
          <w:p w14:paraId="3C0AB20F" w14:textId="77777777" w:rsidR="00DF2483" w:rsidRDefault="00DF2483">
            <w:pPr>
              <w:spacing w:line="240" w:lineRule="auto"/>
            </w:pPr>
            <w:r>
              <w:t xml:space="preserve">X-Frame-Options is one method of controlling which sites may frame the web application, however it is not fully implemented in Chrome (in </w:t>
            </w:r>
            <w:proofErr w:type="spellStart"/>
            <w:r>
              <w:t>favour</w:t>
            </w:r>
            <w:proofErr w:type="spellEnd"/>
            <w:r>
              <w:t xml:space="preserve"> of CSP). Thereby the only available options are DENY or SAMEORIGIN. If more granularity is required, consider CSP instead. Preventing framing can prevent Clickjacking attacks.</w:t>
            </w:r>
          </w:p>
        </w:tc>
      </w:tr>
    </w:tbl>
    <w:p w14:paraId="1B816817" w14:textId="77777777" w:rsidR="00560384" w:rsidRDefault="00560384"/>
    <w:sectPr w:rsidR="005603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2433F"/>
    <w:multiLevelType w:val="multilevel"/>
    <w:tmpl w:val="D338980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483"/>
    <w:rsid w:val="00560384"/>
    <w:rsid w:val="009B444D"/>
    <w:rsid w:val="00B30AD8"/>
    <w:rsid w:val="00DF24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86202"/>
  <w15:chartTrackingRefBased/>
  <w15:docId w15:val="{B9E8A10E-36F5-445B-9905-E67E8C877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483"/>
    <w:pPr>
      <w:spacing w:before="120" w:after="120" w:line="276" w:lineRule="auto"/>
      <w:jc w:val="both"/>
    </w:pPr>
    <w:rPr>
      <w:rFonts w:ascii="Arial" w:eastAsiaTheme="minorEastAsia" w:hAnsi="Arial" w:cs="Arial"/>
    </w:rPr>
  </w:style>
  <w:style w:type="paragraph" w:styleId="Heading1">
    <w:name w:val="heading 1"/>
    <w:next w:val="Normal"/>
    <w:link w:val="Heading1Char"/>
    <w:autoRedefine/>
    <w:uiPriority w:val="9"/>
    <w:qFormat/>
    <w:rsid w:val="00DF2483"/>
    <w:pPr>
      <w:keepNext/>
      <w:keepLines/>
      <w:numPr>
        <w:numId w:val="1"/>
      </w:numPr>
      <w:spacing w:after="240" w:line="240" w:lineRule="auto"/>
      <w:outlineLvl w:val="0"/>
    </w:pPr>
    <w:rPr>
      <w:rFonts w:ascii="Arial" w:eastAsiaTheme="majorEastAsia" w:hAnsi="Arial" w:cs="Arial"/>
      <w:color w:val="FFFFFF" w:themeColor="background1"/>
      <w:sz w:val="60"/>
      <w:szCs w:val="64"/>
    </w:rPr>
  </w:style>
  <w:style w:type="paragraph" w:styleId="Heading2">
    <w:name w:val="heading 2"/>
    <w:next w:val="Normal"/>
    <w:link w:val="Heading2Char"/>
    <w:uiPriority w:val="9"/>
    <w:semiHidden/>
    <w:unhideWhenUsed/>
    <w:qFormat/>
    <w:rsid w:val="00DF2483"/>
    <w:pPr>
      <w:keepNext/>
      <w:keepLines/>
      <w:numPr>
        <w:ilvl w:val="1"/>
        <w:numId w:val="1"/>
      </w:numPr>
      <w:spacing w:before="240" w:after="240" w:line="240" w:lineRule="auto"/>
      <w:ind w:left="0" w:firstLine="0"/>
      <w:outlineLvl w:val="1"/>
    </w:pPr>
    <w:rPr>
      <w:rFonts w:ascii="Arial" w:eastAsiaTheme="majorEastAsia" w:hAnsi="Arial" w:cs="Arial"/>
      <w:sz w:val="40"/>
      <w:szCs w:val="40"/>
    </w:rPr>
  </w:style>
  <w:style w:type="paragraph" w:styleId="Heading3">
    <w:name w:val="heading 3"/>
    <w:next w:val="Normal"/>
    <w:link w:val="Heading3Char"/>
    <w:uiPriority w:val="9"/>
    <w:semiHidden/>
    <w:unhideWhenUsed/>
    <w:qFormat/>
    <w:rsid w:val="00DF2483"/>
    <w:pPr>
      <w:keepNext/>
      <w:keepLines/>
      <w:numPr>
        <w:ilvl w:val="2"/>
        <w:numId w:val="1"/>
      </w:numPr>
      <w:spacing w:before="120" w:after="120" w:line="240" w:lineRule="auto"/>
      <w:ind w:left="0" w:firstLine="0"/>
      <w:outlineLvl w:val="2"/>
    </w:pPr>
    <w:rPr>
      <w:rFonts w:ascii="Arial" w:eastAsiaTheme="majorEastAsia" w:hAnsi="Arial" w:cs="Arial"/>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483"/>
    <w:rPr>
      <w:rFonts w:ascii="Arial" w:eastAsiaTheme="majorEastAsia" w:hAnsi="Arial" w:cs="Arial"/>
      <w:color w:val="FFFFFF" w:themeColor="background1"/>
      <w:sz w:val="60"/>
      <w:szCs w:val="64"/>
    </w:rPr>
  </w:style>
  <w:style w:type="character" w:customStyle="1" w:styleId="Heading2Char">
    <w:name w:val="Heading 2 Char"/>
    <w:basedOn w:val="DefaultParagraphFont"/>
    <w:link w:val="Heading2"/>
    <w:uiPriority w:val="9"/>
    <w:semiHidden/>
    <w:rsid w:val="00DF2483"/>
    <w:rPr>
      <w:rFonts w:ascii="Arial" w:eastAsiaTheme="majorEastAsia" w:hAnsi="Arial" w:cs="Arial"/>
      <w:sz w:val="40"/>
      <w:szCs w:val="40"/>
    </w:rPr>
  </w:style>
  <w:style w:type="character" w:customStyle="1" w:styleId="Heading3Char">
    <w:name w:val="Heading 3 Char"/>
    <w:basedOn w:val="DefaultParagraphFont"/>
    <w:link w:val="Heading3"/>
    <w:uiPriority w:val="9"/>
    <w:semiHidden/>
    <w:rsid w:val="00DF2483"/>
    <w:rPr>
      <w:rFonts w:ascii="Arial" w:eastAsiaTheme="majorEastAsia" w:hAnsi="Arial" w:cs="Arial"/>
      <w:sz w:val="40"/>
      <w:szCs w:val="40"/>
    </w:rPr>
  </w:style>
  <w:style w:type="character" w:customStyle="1" w:styleId="IssueTableContentChar">
    <w:name w:val="Issue Table Content Char"/>
    <w:basedOn w:val="DefaultParagraphFont"/>
    <w:link w:val="IssueTableContent"/>
    <w:locked/>
    <w:rsid w:val="00DF2483"/>
    <w:rPr>
      <w:rFonts w:ascii="Arial" w:hAnsi="Arial" w:cs="Arial"/>
      <w:b/>
      <w:sz w:val="20"/>
      <w:szCs w:val="20"/>
    </w:rPr>
  </w:style>
  <w:style w:type="paragraph" w:customStyle="1" w:styleId="IssueTableContent">
    <w:name w:val="Issue Table Content"/>
    <w:link w:val="IssueTableContentChar"/>
    <w:rsid w:val="00DF2483"/>
    <w:pPr>
      <w:spacing w:before="100" w:after="100" w:line="240" w:lineRule="auto"/>
    </w:pPr>
    <w:rPr>
      <w:rFonts w:ascii="Arial" w:hAnsi="Arial" w:cs="Arial"/>
      <w:b/>
      <w:sz w:val="20"/>
      <w:szCs w:val="20"/>
    </w:rPr>
  </w:style>
  <w:style w:type="character" w:customStyle="1" w:styleId="IssueTableTitleChar">
    <w:name w:val="Issue Table Title Char"/>
    <w:basedOn w:val="DefaultParagraphFont"/>
    <w:link w:val="IssueTableTitle"/>
    <w:locked/>
    <w:rsid w:val="00DF2483"/>
    <w:rPr>
      <w:rFonts w:ascii="Arial" w:hAnsi="Arial" w:cs="Arial"/>
      <w:sz w:val="20"/>
      <w:szCs w:val="20"/>
    </w:rPr>
  </w:style>
  <w:style w:type="paragraph" w:customStyle="1" w:styleId="IssueTableTitle">
    <w:name w:val="Issue Table Title"/>
    <w:link w:val="IssueTableTitleChar"/>
    <w:rsid w:val="00DF2483"/>
    <w:pPr>
      <w:spacing w:before="100" w:after="100" w:line="240" w:lineRule="auto"/>
      <w:jc w:val="both"/>
    </w:pPr>
    <w:rPr>
      <w:rFonts w:ascii="Arial" w:hAnsi="Arial" w:cs="Arial"/>
      <w:sz w:val="20"/>
      <w:szCs w:val="20"/>
    </w:rPr>
  </w:style>
  <w:style w:type="character" w:customStyle="1" w:styleId="emptycellChar">
    <w:name w:val="empty cell Char"/>
    <w:basedOn w:val="DefaultParagraphFont"/>
    <w:link w:val="emptycell"/>
    <w:locked/>
    <w:rsid w:val="00DF2483"/>
    <w:rPr>
      <w:rFonts w:ascii="Arial" w:hAnsi="Arial" w:cs="Arial"/>
      <w:bCs/>
      <w:color w:val="FFFFFF" w:themeColor="background1"/>
      <w:sz w:val="4"/>
      <w:szCs w:val="10"/>
    </w:rPr>
  </w:style>
  <w:style w:type="paragraph" w:customStyle="1" w:styleId="emptycell">
    <w:name w:val="empty cell"/>
    <w:link w:val="emptycellChar"/>
    <w:rsid w:val="00DF2483"/>
    <w:pPr>
      <w:spacing w:after="0" w:line="240" w:lineRule="auto"/>
    </w:pPr>
    <w:rPr>
      <w:rFonts w:ascii="Arial" w:hAnsi="Arial" w:cs="Arial"/>
      <w:bCs/>
      <w:color w:val="FFFFFF" w:themeColor="background1"/>
      <w:sz w:val="4"/>
      <w:szCs w:val="10"/>
    </w:rPr>
  </w:style>
  <w:style w:type="table" w:styleId="TableGrid">
    <w:name w:val="Table Grid"/>
    <w:basedOn w:val="TableNormal"/>
    <w:uiPriority w:val="59"/>
    <w:rsid w:val="00DF2483"/>
    <w:pPr>
      <w:spacing w:after="0" w:line="240" w:lineRule="auto"/>
    </w:pPr>
    <w:rPr>
      <w:rFonts w:eastAsiaTheme="minorEastAsia"/>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26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1</cp:revision>
  <dcterms:created xsi:type="dcterms:W3CDTF">2021-08-15T19:35:00Z</dcterms:created>
  <dcterms:modified xsi:type="dcterms:W3CDTF">2021-08-15T19:35:00Z</dcterms:modified>
</cp:coreProperties>
</file>