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17368" w14:textId="579E43C5" w:rsidR="00036245" w:rsidRPr="00FA03E6" w:rsidRDefault="00CC56C7" w:rsidP="006462A6">
      <w:pPr>
        <w:jc w:val="center"/>
        <w:rPr>
          <w:rFonts w:ascii="Century Gothic" w:hAnsi="Century Gothic"/>
          <w:b/>
          <w:bCs/>
        </w:rPr>
      </w:pPr>
      <w:r>
        <w:fldChar w:fldCharType="begin"/>
      </w:r>
      <w:r>
        <w:instrText xml:space="preserve"> HYPERLINK "https://d-linnard.github.io/LateBlight/" </w:instrText>
      </w:r>
      <w:r>
        <w:fldChar w:fldCharType="separate"/>
      </w:r>
      <w:r w:rsidR="006462A6" w:rsidRPr="00B72DA3">
        <w:rPr>
          <w:rStyle w:val="Hyperlink"/>
          <w:rFonts w:ascii="Century Gothic" w:hAnsi="Century Gothic"/>
          <w:b/>
          <w:bCs/>
        </w:rPr>
        <w:t xml:space="preserve">Late blight forecast </w:t>
      </w:r>
      <w:r w:rsidR="00583231" w:rsidRPr="00B72DA3">
        <w:rPr>
          <w:rStyle w:val="Hyperlink"/>
          <w:rFonts w:ascii="Century Gothic" w:hAnsi="Century Gothic"/>
          <w:b/>
          <w:bCs/>
        </w:rPr>
        <w:t xml:space="preserve">for </w:t>
      </w:r>
      <w:r w:rsidR="006462A6" w:rsidRPr="00B72DA3">
        <w:rPr>
          <w:rStyle w:val="Hyperlink"/>
          <w:rFonts w:ascii="Century Gothic" w:hAnsi="Century Gothic"/>
          <w:b/>
          <w:bCs/>
        </w:rPr>
        <w:t xml:space="preserve">May </w:t>
      </w:r>
      <w:r w:rsidR="00651B98">
        <w:rPr>
          <w:rStyle w:val="Hyperlink"/>
          <w:rFonts w:ascii="Century Gothic" w:hAnsi="Century Gothic"/>
          <w:b/>
          <w:bCs/>
        </w:rPr>
        <w:t>6</w:t>
      </w:r>
      <w:r w:rsidR="006462A6" w:rsidRPr="00B72DA3">
        <w:rPr>
          <w:rStyle w:val="Hyperlink"/>
          <w:rFonts w:ascii="Century Gothic" w:hAnsi="Century Gothic"/>
          <w:b/>
          <w:bCs/>
          <w:vertAlign w:val="superscript"/>
        </w:rPr>
        <w:t>th</w:t>
      </w:r>
      <w:r w:rsidR="006462A6" w:rsidRPr="00B72DA3">
        <w:rPr>
          <w:rStyle w:val="Hyperlink"/>
          <w:rFonts w:ascii="Century Gothic" w:hAnsi="Century Gothic"/>
          <w:b/>
          <w:bCs/>
        </w:rPr>
        <w:t>, 202</w:t>
      </w:r>
      <w:r w:rsidR="00DB315C">
        <w:rPr>
          <w:rStyle w:val="Hyperlink"/>
          <w:rFonts w:ascii="Century Gothic" w:hAnsi="Century Gothic"/>
          <w:b/>
          <w:bCs/>
        </w:rPr>
        <w:t>2</w:t>
      </w:r>
      <w:r>
        <w:rPr>
          <w:rStyle w:val="Hyperlink"/>
          <w:rFonts w:ascii="Century Gothic" w:hAnsi="Century Gothic"/>
          <w:b/>
          <w:bCs/>
        </w:rPr>
        <w:fldChar w:fldCharType="end"/>
      </w:r>
    </w:p>
    <w:p w14:paraId="67286190" w14:textId="4057305F" w:rsidR="006462A6" w:rsidRPr="00FA03E6" w:rsidRDefault="006462A6" w:rsidP="006462A6">
      <w:pPr>
        <w:jc w:val="center"/>
        <w:rPr>
          <w:rFonts w:ascii="Century Gothic" w:hAnsi="Century Gothic"/>
          <w:b/>
          <w:bCs/>
        </w:rPr>
      </w:pPr>
    </w:p>
    <w:p w14:paraId="42E865B4" w14:textId="11C21709" w:rsidR="00C93C1D" w:rsidRPr="00FA03E6" w:rsidRDefault="00583231" w:rsidP="00FA03E6">
      <w:pPr>
        <w:jc w:val="both"/>
        <w:rPr>
          <w:rFonts w:ascii="Century Gothic" w:hAnsi="Century Gothic"/>
        </w:rPr>
      </w:pPr>
      <w:r w:rsidRPr="00FA03E6">
        <w:rPr>
          <w:rFonts w:ascii="Century Gothic" w:hAnsi="Century Gothic"/>
          <w:b/>
          <w:bCs/>
        </w:rPr>
        <w:t>Forecast</w:t>
      </w:r>
      <w:r w:rsidR="00C93C1D" w:rsidRPr="00FA03E6">
        <w:rPr>
          <w:rFonts w:ascii="Century Gothic" w:hAnsi="Century Gothic"/>
          <w:b/>
          <w:bCs/>
        </w:rPr>
        <w:t xml:space="preserve">: </w:t>
      </w:r>
      <w:r w:rsidR="00C93C1D" w:rsidRPr="00FA03E6">
        <w:rPr>
          <w:rFonts w:ascii="Century Gothic" w:hAnsi="Century Gothic"/>
        </w:rPr>
        <w:t xml:space="preserve">Late blight has not been reported in the Columbia Basin of Washington. </w:t>
      </w:r>
      <w:r w:rsidR="007204DC">
        <w:rPr>
          <w:rFonts w:ascii="Century Gothic" w:hAnsi="Century Gothic"/>
        </w:rPr>
        <w:t>Additionally</w:t>
      </w:r>
      <w:r w:rsidR="009463A0" w:rsidRPr="00FA03E6">
        <w:rPr>
          <w:rFonts w:ascii="Century Gothic" w:hAnsi="Century Gothic"/>
        </w:rPr>
        <w:t xml:space="preserve">, late blight is not expected to occur in the Columbia Basin before row closure. </w:t>
      </w:r>
      <w:r w:rsidR="00C93C1D" w:rsidRPr="00FA03E6">
        <w:rPr>
          <w:rFonts w:ascii="Century Gothic" w:hAnsi="Century Gothic"/>
        </w:rPr>
        <w:t>The probabilit</w:t>
      </w:r>
      <w:r w:rsidR="009463A0" w:rsidRPr="00FA03E6">
        <w:rPr>
          <w:rFonts w:ascii="Century Gothic" w:hAnsi="Century Gothic"/>
        </w:rPr>
        <w:t>ies</w:t>
      </w:r>
      <w:r w:rsidR="00C93C1D" w:rsidRPr="00FA03E6">
        <w:rPr>
          <w:rFonts w:ascii="Century Gothic" w:hAnsi="Century Gothic"/>
        </w:rPr>
        <w:t xml:space="preserve"> that late blight will occur </w:t>
      </w:r>
      <w:r w:rsidR="007204DC">
        <w:rPr>
          <w:rFonts w:ascii="Century Gothic" w:hAnsi="Century Gothic"/>
        </w:rPr>
        <w:t>in 202</w:t>
      </w:r>
      <w:r w:rsidR="00651B98">
        <w:rPr>
          <w:rFonts w:ascii="Century Gothic" w:hAnsi="Century Gothic"/>
        </w:rPr>
        <w:t>2</w:t>
      </w:r>
      <w:r w:rsidR="007204DC">
        <w:rPr>
          <w:rFonts w:ascii="Century Gothic" w:hAnsi="Century Gothic"/>
        </w:rPr>
        <w:t xml:space="preserve"> are presented below for the same locations used in previous years:</w:t>
      </w:r>
    </w:p>
    <w:p w14:paraId="1F8A8A44" w14:textId="0264AEC3" w:rsidR="00C93C1D" w:rsidRPr="00FA03E6" w:rsidRDefault="00C93C1D" w:rsidP="00FA03E6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r w:rsidRPr="00FA03E6">
        <w:rPr>
          <w:rFonts w:ascii="Century Gothic" w:hAnsi="Century Gothic"/>
        </w:rPr>
        <w:t>Othello: 0.</w:t>
      </w:r>
      <w:r w:rsidR="00866316">
        <w:rPr>
          <w:rFonts w:ascii="Century Gothic" w:hAnsi="Century Gothic"/>
        </w:rPr>
        <w:t>4</w:t>
      </w:r>
      <w:r w:rsidR="00CC56C7">
        <w:rPr>
          <w:rFonts w:ascii="Century Gothic" w:hAnsi="Century Gothic"/>
        </w:rPr>
        <w:t>9</w:t>
      </w:r>
    </w:p>
    <w:p w14:paraId="4CC12FBD" w14:textId="3031162D" w:rsidR="00C93C1D" w:rsidRPr="00FA03E6" w:rsidRDefault="00C93C1D" w:rsidP="00FA03E6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r w:rsidRPr="00FA03E6">
        <w:rPr>
          <w:rFonts w:ascii="Century Gothic" w:hAnsi="Century Gothic"/>
        </w:rPr>
        <w:t>Tri</w:t>
      </w:r>
      <w:r w:rsidR="009463A0" w:rsidRPr="00FA03E6">
        <w:rPr>
          <w:rFonts w:ascii="Century Gothic" w:hAnsi="Century Gothic"/>
        </w:rPr>
        <w:t>-Cities: 0.</w:t>
      </w:r>
      <w:r w:rsidR="00CC56C7">
        <w:rPr>
          <w:rFonts w:ascii="Century Gothic" w:hAnsi="Century Gothic"/>
        </w:rPr>
        <w:t>37</w:t>
      </w:r>
    </w:p>
    <w:p w14:paraId="186EF64F" w14:textId="37D60682" w:rsidR="009463A0" w:rsidRPr="00FA03E6" w:rsidRDefault="009463A0" w:rsidP="00FA03E6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r w:rsidRPr="00FA03E6">
        <w:rPr>
          <w:rFonts w:ascii="Century Gothic" w:hAnsi="Century Gothic"/>
        </w:rPr>
        <w:t>Prosser: 0.</w:t>
      </w:r>
      <w:r w:rsidR="00866316">
        <w:rPr>
          <w:rFonts w:ascii="Century Gothic" w:hAnsi="Century Gothic"/>
        </w:rPr>
        <w:t>3</w:t>
      </w:r>
      <w:r w:rsidR="00CC56C7">
        <w:rPr>
          <w:rFonts w:ascii="Century Gothic" w:hAnsi="Century Gothic"/>
        </w:rPr>
        <w:t>4</w:t>
      </w:r>
    </w:p>
    <w:p w14:paraId="40779002" w14:textId="77777777" w:rsidR="009463A0" w:rsidRPr="00FA03E6" w:rsidRDefault="009463A0" w:rsidP="009463A0">
      <w:pPr>
        <w:rPr>
          <w:rFonts w:ascii="Century Gothic" w:hAnsi="Century Gothic"/>
        </w:rPr>
      </w:pPr>
    </w:p>
    <w:p w14:paraId="059338AC" w14:textId="3391A015" w:rsidR="009463A0" w:rsidRPr="00FA03E6" w:rsidRDefault="009463A0" w:rsidP="009463A0">
      <w:pPr>
        <w:rPr>
          <w:rFonts w:ascii="Century Gothic" w:hAnsi="Century Gothic"/>
          <w:b/>
          <w:bCs/>
        </w:rPr>
      </w:pPr>
      <w:r w:rsidRPr="00FA03E6">
        <w:rPr>
          <w:rFonts w:ascii="Century Gothic" w:hAnsi="Century Gothic"/>
          <w:b/>
          <w:bCs/>
        </w:rPr>
        <w:t>Recommendations:</w:t>
      </w:r>
    </w:p>
    <w:p w14:paraId="6BDF2332" w14:textId="6CD11DA5" w:rsidR="009463A0" w:rsidRPr="00FA03E6" w:rsidRDefault="009463A0" w:rsidP="009463A0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FA03E6">
        <w:rPr>
          <w:rFonts w:ascii="Century Gothic" w:hAnsi="Century Gothic"/>
        </w:rPr>
        <w:t>Eliminate culls, tuber refuse, and volunteer potato plants, especially in fields with or near late blight last year.</w:t>
      </w:r>
    </w:p>
    <w:p w14:paraId="3F32ACBC" w14:textId="12CA099A" w:rsidR="009463A0" w:rsidRPr="00FA03E6" w:rsidRDefault="009463A0" w:rsidP="009463A0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FA03E6">
        <w:rPr>
          <w:rFonts w:ascii="Century Gothic" w:hAnsi="Century Gothic"/>
        </w:rPr>
        <w:t>Limit irrigation unless the crop is fully emerged.</w:t>
      </w:r>
    </w:p>
    <w:p w14:paraId="5B0651E3" w14:textId="07940D43" w:rsidR="009463A0" w:rsidRPr="00FA03E6" w:rsidRDefault="009463A0" w:rsidP="009463A0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FA03E6">
        <w:rPr>
          <w:rFonts w:ascii="Century Gothic" w:hAnsi="Century Gothic"/>
        </w:rPr>
        <w:t>Ensure that developing tubers are covered with moderately sized hills.</w:t>
      </w:r>
    </w:p>
    <w:p w14:paraId="57DA5378" w14:textId="50D76ABE" w:rsidR="00FA03E6" w:rsidRPr="00FA03E6" w:rsidRDefault="009463A0" w:rsidP="00FA03E6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FA03E6">
        <w:rPr>
          <w:rFonts w:ascii="Century Gothic" w:hAnsi="Century Gothic"/>
        </w:rPr>
        <w:t>Upon row closure, begin to monitor fields for late blight. This is very important for (</w:t>
      </w:r>
      <w:proofErr w:type="spellStart"/>
      <w:r w:rsidRPr="00FA03E6">
        <w:rPr>
          <w:rFonts w:ascii="Century Gothic" w:hAnsi="Century Gothic"/>
        </w:rPr>
        <w:t>i</w:t>
      </w:r>
      <w:proofErr w:type="spellEnd"/>
      <w:r w:rsidRPr="00FA03E6">
        <w:rPr>
          <w:rFonts w:ascii="Century Gothic" w:hAnsi="Century Gothic"/>
        </w:rPr>
        <w:t>) effective management and (ii) accurate forecasting. Growers</w:t>
      </w:r>
      <w:r w:rsidR="00FA03E6" w:rsidRPr="00FA03E6">
        <w:rPr>
          <w:rFonts w:ascii="Century Gothic" w:hAnsi="Century Gothic"/>
        </w:rPr>
        <w:t>,</w:t>
      </w:r>
      <w:r w:rsidRPr="00FA03E6">
        <w:rPr>
          <w:rFonts w:ascii="Century Gothic" w:hAnsi="Century Gothic"/>
        </w:rPr>
        <w:t xml:space="preserve"> field representatives</w:t>
      </w:r>
      <w:r w:rsidR="00FA03E6" w:rsidRPr="00FA03E6">
        <w:rPr>
          <w:rFonts w:ascii="Century Gothic" w:hAnsi="Century Gothic"/>
        </w:rPr>
        <w:t>, and extension agents</w:t>
      </w:r>
      <w:r w:rsidRPr="00FA03E6">
        <w:rPr>
          <w:rFonts w:ascii="Century Gothic" w:hAnsi="Century Gothic"/>
        </w:rPr>
        <w:t xml:space="preserve"> serve as the eyes on the ground. </w:t>
      </w:r>
      <w:r w:rsidR="00FA03E6" w:rsidRPr="00FA03E6">
        <w:rPr>
          <w:rFonts w:ascii="Century Gothic" w:hAnsi="Century Gothic"/>
        </w:rPr>
        <w:t>We need this information to provide meaningful forecasts.</w:t>
      </w:r>
    </w:p>
    <w:p w14:paraId="7326EAD0" w14:textId="0FC331F5" w:rsidR="00FA03E6" w:rsidRPr="00FA03E6" w:rsidRDefault="00FA03E6" w:rsidP="00FA03E6">
      <w:pPr>
        <w:rPr>
          <w:rFonts w:ascii="Century Gothic" w:hAnsi="Century Gothic"/>
        </w:rPr>
      </w:pPr>
    </w:p>
    <w:p w14:paraId="0968F873" w14:textId="0D5C0512" w:rsidR="00FA03E6" w:rsidRPr="00FA03E6" w:rsidRDefault="00FA03E6" w:rsidP="00FA03E6">
      <w:pPr>
        <w:rPr>
          <w:rFonts w:ascii="Century Gothic" w:hAnsi="Century Gothic"/>
        </w:rPr>
      </w:pPr>
      <w:r w:rsidRPr="00FA03E6">
        <w:rPr>
          <w:rFonts w:ascii="Century Gothic" w:hAnsi="Century Gothic"/>
          <w:b/>
          <w:bCs/>
        </w:rPr>
        <w:t xml:space="preserve">Contact: </w:t>
      </w:r>
      <w:r w:rsidRPr="00FA03E6">
        <w:rPr>
          <w:rFonts w:ascii="Century Gothic" w:hAnsi="Century Gothic"/>
        </w:rPr>
        <w:t>Contact David Wheeler (</w:t>
      </w:r>
      <w:hyperlink r:id="rId5" w:history="1">
        <w:r w:rsidR="007204DC" w:rsidRPr="006E3230">
          <w:rPr>
            <w:rStyle w:val="Hyperlink"/>
            <w:rFonts w:ascii="Century Gothic" w:hAnsi="Century Gothic"/>
          </w:rPr>
          <w:t>david.wheeler@wsu.edu</w:t>
        </w:r>
      </w:hyperlink>
      <w:r w:rsidRPr="00FA03E6">
        <w:rPr>
          <w:rFonts w:ascii="Century Gothic" w:hAnsi="Century Gothic"/>
        </w:rPr>
        <w:t>; 509-335-3733)</w:t>
      </w:r>
      <w:r w:rsidR="00651B98">
        <w:rPr>
          <w:rFonts w:ascii="Century Gothic" w:hAnsi="Century Gothic"/>
        </w:rPr>
        <w:t xml:space="preserve">, </w:t>
      </w:r>
      <w:r w:rsidR="00866316">
        <w:rPr>
          <w:rFonts w:ascii="Century Gothic" w:hAnsi="Century Gothic"/>
        </w:rPr>
        <w:t xml:space="preserve">to </w:t>
      </w:r>
      <w:r w:rsidRPr="00FA03E6">
        <w:rPr>
          <w:rFonts w:ascii="Century Gothic" w:hAnsi="Century Gothic"/>
        </w:rPr>
        <w:t>confirm or to diagnose late blight.</w:t>
      </w:r>
    </w:p>
    <w:p w14:paraId="3DCD55FF" w14:textId="77777777" w:rsidR="00FA03E6" w:rsidRPr="00FA03E6" w:rsidRDefault="00FA03E6" w:rsidP="00FA03E6">
      <w:pPr>
        <w:rPr>
          <w:rFonts w:ascii="Century Gothic" w:hAnsi="Century Gothic"/>
          <w:b/>
          <w:bCs/>
        </w:rPr>
      </w:pPr>
    </w:p>
    <w:p w14:paraId="53686597" w14:textId="77777777" w:rsidR="009463A0" w:rsidRPr="00FA03E6" w:rsidRDefault="009463A0" w:rsidP="009463A0">
      <w:pPr>
        <w:rPr>
          <w:rFonts w:ascii="Century Gothic" w:hAnsi="Century Gothic"/>
        </w:rPr>
      </w:pPr>
    </w:p>
    <w:p w14:paraId="7CDBABB4" w14:textId="125703D8" w:rsidR="006462A6" w:rsidRPr="00FA03E6" w:rsidRDefault="006462A6">
      <w:pPr>
        <w:rPr>
          <w:rFonts w:ascii="Century Gothic" w:hAnsi="Century Gothic"/>
          <w:b/>
          <w:bCs/>
        </w:rPr>
      </w:pPr>
    </w:p>
    <w:p w14:paraId="2F3B2041" w14:textId="77777777" w:rsidR="006462A6" w:rsidRPr="00FA03E6" w:rsidRDefault="006462A6">
      <w:pPr>
        <w:rPr>
          <w:rFonts w:ascii="Century Gothic" w:hAnsi="Century Gothic"/>
          <w:b/>
          <w:bCs/>
        </w:rPr>
      </w:pPr>
    </w:p>
    <w:sectPr w:rsidR="006462A6" w:rsidRPr="00FA03E6" w:rsidSect="00761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121C8"/>
    <w:multiLevelType w:val="hybridMultilevel"/>
    <w:tmpl w:val="724A15A0"/>
    <w:lvl w:ilvl="0" w:tplc="76EE06E8">
      <w:start w:val="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65B6D"/>
    <w:multiLevelType w:val="hybridMultilevel"/>
    <w:tmpl w:val="90FEE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718D6"/>
    <w:multiLevelType w:val="hybridMultilevel"/>
    <w:tmpl w:val="133C3066"/>
    <w:lvl w:ilvl="0" w:tplc="84D2FB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200558">
    <w:abstractNumId w:val="0"/>
  </w:num>
  <w:num w:numId="2" w16cid:durableId="605968020">
    <w:abstractNumId w:val="1"/>
  </w:num>
  <w:num w:numId="3" w16cid:durableId="5030153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2A6"/>
    <w:rsid w:val="00436999"/>
    <w:rsid w:val="00583231"/>
    <w:rsid w:val="006462A6"/>
    <w:rsid w:val="00651B98"/>
    <w:rsid w:val="007204DC"/>
    <w:rsid w:val="007618FE"/>
    <w:rsid w:val="00866316"/>
    <w:rsid w:val="009463A0"/>
    <w:rsid w:val="00995889"/>
    <w:rsid w:val="009F6ADD"/>
    <w:rsid w:val="00B72DA3"/>
    <w:rsid w:val="00C93C1D"/>
    <w:rsid w:val="00CC56C7"/>
    <w:rsid w:val="00DB315C"/>
    <w:rsid w:val="00E76025"/>
    <w:rsid w:val="00FA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81B08"/>
  <w15:chartTrackingRefBased/>
  <w15:docId w15:val="{A319FCBE-EDF1-504E-A622-367B5FF42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C1D"/>
    <w:pPr>
      <w:ind w:left="720"/>
      <w:contextualSpacing/>
    </w:pPr>
  </w:style>
  <w:style w:type="character" w:styleId="Hyperlink">
    <w:name w:val="Hyperlink"/>
    <w:rsid w:val="00FA03E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03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vid.wheeler@ws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Wheeler, David Linnard</dc:creator>
  <cp:keywords/>
  <dc:description/>
  <cp:lastModifiedBy>G C Upadhaya, Sudha</cp:lastModifiedBy>
  <cp:revision>2</cp:revision>
  <dcterms:created xsi:type="dcterms:W3CDTF">2022-05-11T11:05:00Z</dcterms:created>
  <dcterms:modified xsi:type="dcterms:W3CDTF">2022-05-11T11:05:00Z</dcterms:modified>
</cp:coreProperties>
</file>