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BA629E">
      <w:pPr>
        <w:jc w:val="both"/>
        <w:rPr>
          <w:szCs w:val="24"/>
        </w:rPr>
      </w:pPr>
      <w:r w:rsidRPr="00861D49">
        <w:rPr>
          <w:bCs/>
          <w:szCs w:val="24"/>
        </w:rPr>
        <w:t>PIs involved include David Linnard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9"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0"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from Oregon State University. Sudha G.C. Upadhaya</w:t>
      </w:r>
      <w:r w:rsidR="001664DF">
        <w:rPr>
          <w:bCs/>
          <w:szCs w:val="24"/>
        </w:rPr>
        <w:t xml:space="preserve"> (</w:t>
      </w:r>
      <w:hyperlink r:id="rId11"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rsidP="00413CBF">
      <w:pPr>
        <w:ind w:firstLine="360"/>
        <w:jc w:val="both"/>
        <w:rPr>
          <w:color w:val="000000" w:themeColor="text1"/>
          <w:szCs w:val="24"/>
        </w:rPr>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w:t>
      </w:r>
      <w:commentRangeStart w:id="0"/>
      <w:r w:rsidRPr="0094015B">
        <w:rPr>
          <w:color w:val="000000" w:themeColor="text1"/>
          <w:szCs w:val="24"/>
        </w:rPr>
        <w:t xml:space="preserve">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w:t>
      </w:r>
      <w:commentRangeEnd w:id="0"/>
      <w:r w:rsidR="006507E4">
        <w:rPr>
          <w:rStyle w:val="CommentReference"/>
        </w:rPr>
        <w:commentReference w:id="0"/>
      </w:r>
      <w:r w:rsidRPr="0094015B">
        <w:rPr>
          <w:color w:val="000000" w:themeColor="text1"/>
          <w:szCs w:val="24"/>
        </w:rPr>
        <w:t xml:space="preserve">.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33562800" w:rsidR="008D17E2" w:rsidRDefault="001F6AC1" w:rsidP="00413CBF">
      <w:pPr>
        <w:ind w:firstLine="36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rsidP="00413CBF">
      <w:pPr>
        <w:ind w:firstLine="360"/>
        <w:jc w:val="both"/>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3DBDD3AF" w14:textId="380641FB" w:rsidR="00D5797D" w:rsidRDefault="00D5797D" w:rsidP="00413CBF">
      <w:pPr>
        <w:ind w:firstLine="360"/>
        <w:jc w:val="both"/>
        <w:rPr>
          <w:szCs w:val="24"/>
        </w:rPr>
      </w:pPr>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rsidP="00413CBF">
      <w:pPr>
        <w:ind w:firstLine="360"/>
        <w:jc w:val="both"/>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(i)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1"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rsidP="00413CBF">
      <w:pPr>
        <w:ind w:firstLine="360"/>
        <w:jc w:val="both"/>
        <w:rPr>
          <w:b/>
          <w:bCs/>
          <w:szCs w:val="24"/>
        </w:rPr>
      </w:pPr>
      <w:r w:rsidRPr="009D0CEB">
        <w:rPr>
          <w:b/>
          <w:bCs/>
          <w:szCs w:val="24"/>
        </w:rPr>
        <w:t>Objectives:</w:t>
      </w:r>
    </w:p>
    <w:p w14:paraId="1FED891F" w14:textId="166127A1" w:rsidR="00E87D9C" w:rsidRDefault="00413CBF" w:rsidP="00413CBF">
      <w:pPr>
        <w:pStyle w:val="ListParagraph"/>
        <w:numPr>
          <w:ilvl w:val="0"/>
          <w:numId w:val="7"/>
        </w:numPr>
        <w:jc w:val="both"/>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413CBF">
      <w:pPr>
        <w:pStyle w:val="ListParagraph"/>
        <w:numPr>
          <w:ilvl w:val="0"/>
          <w:numId w:val="7"/>
        </w:numPr>
        <w:jc w:val="both"/>
        <w:rPr>
          <w:szCs w:val="24"/>
        </w:rPr>
      </w:pPr>
      <w:r>
        <w:rPr>
          <w:szCs w:val="24"/>
        </w:rPr>
        <w:t>Characterize soil physical, chemical, and biological properties.</w:t>
      </w:r>
    </w:p>
    <w:p w14:paraId="55239436" w14:textId="0A788A4D" w:rsidR="00413CBF" w:rsidRDefault="00413CBF" w:rsidP="00413CBF">
      <w:pPr>
        <w:pStyle w:val="ListParagraph"/>
        <w:numPr>
          <w:ilvl w:val="0"/>
          <w:numId w:val="7"/>
        </w:numPr>
        <w:jc w:val="both"/>
        <w:rPr>
          <w:szCs w:val="24"/>
        </w:rPr>
      </w:pPr>
      <w:r>
        <w:rPr>
          <w:szCs w:val="24"/>
        </w:rPr>
        <w:t>Quantify potato performance in microplots.</w:t>
      </w:r>
    </w:p>
    <w:p w14:paraId="04DEFD59" w14:textId="6EA454DA" w:rsidR="00413CBF" w:rsidRPr="00413CBF" w:rsidRDefault="00413CBF" w:rsidP="00413CBF">
      <w:pPr>
        <w:pStyle w:val="ListParagraph"/>
        <w:numPr>
          <w:ilvl w:val="0"/>
          <w:numId w:val="7"/>
        </w:numPr>
        <w:jc w:val="both"/>
        <w:rPr>
          <w:szCs w:val="24"/>
        </w:rPr>
      </w:pPr>
      <w:r>
        <w:rPr>
          <w:szCs w:val="24"/>
        </w:rPr>
        <w:t>Learn from data.</w:t>
      </w:r>
    </w:p>
    <w:p w14:paraId="28D50779" w14:textId="77777777" w:rsidR="001664DF" w:rsidRDefault="001664DF" w:rsidP="00215078">
      <w:pPr>
        <w:ind w:firstLine="720"/>
        <w:jc w:val="both"/>
        <w:rPr>
          <w:szCs w:val="24"/>
        </w:rPr>
      </w:pPr>
    </w:p>
    <w:p w14:paraId="2928A08F" w14:textId="6822EFDD" w:rsidR="001664DF" w:rsidRPr="001664DF" w:rsidRDefault="001664DF" w:rsidP="001664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1"/>
    <w:p w14:paraId="35A0ED1A" w14:textId="37233660" w:rsidR="002F75CE" w:rsidRDefault="00413CBF" w:rsidP="00F57372">
      <w:pPr>
        <w:tabs>
          <w:tab w:val="left" w:pos="8910"/>
        </w:tabs>
        <w:ind w:firstLine="360"/>
        <w:jc w:val="both"/>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w:t>
      </w:r>
      <w:commentRangeStart w:id="2"/>
      <w:commentRangeStart w:id="3"/>
      <w:r w:rsidR="00524B5E">
        <w:rPr>
          <w:szCs w:val="24"/>
        </w:rPr>
        <w:t xml:space="preserve">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w:t>
      </w:r>
      <w:commentRangeEnd w:id="2"/>
      <w:r w:rsidR="00D85268">
        <w:rPr>
          <w:rStyle w:val="CommentReference"/>
        </w:rPr>
        <w:commentReference w:id="2"/>
      </w:r>
      <w:commentRangeEnd w:id="3"/>
      <w:r w:rsidR="006507E4">
        <w:rPr>
          <w:rStyle w:val="CommentReference"/>
        </w:rPr>
        <w:commentReference w:id="3"/>
      </w:r>
      <w:r w:rsidR="00F57372">
        <w:rPr>
          <w:szCs w:val="24"/>
        </w:rPr>
        <w:t>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73325">
      <w:pPr>
        <w:ind w:firstLine="360"/>
        <w:jc w:val="both"/>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2F75CE">
      <w:pPr>
        <w:pStyle w:val="ListParagraph"/>
        <w:numPr>
          <w:ilvl w:val="0"/>
          <w:numId w:val="4"/>
        </w:numPr>
        <w:jc w:val="both"/>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rsidP="002F75CE">
      <w:pPr>
        <w:pStyle w:val="ListParagraph"/>
        <w:numPr>
          <w:ilvl w:val="0"/>
          <w:numId w:val="4"/>
        </w:numPr>
        <w:jc w:val="both"/>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r w:rsidR="002F75CE">
        <w:rPr>
          <w:szCs w:val="24"/>
        </w:rPr>
        <w:t>;</w:t>
      </w:r>
    </w:p>
    <w:p w14:paraId="179708CC" w14:textId="70F2DE9C" w:rsidR="002F75CE" w:rsidRDefault="00215078" w:rsidP="002F75CE">
      <w:pPr>
        <w:pStyle w:val="ListParagraph"/>
        <w:numPr>
          <w:ilvl w:val="0"/>
          <w:numId w:val="4"/>
        </w:numPr>
        <w:jc w:val="both"/>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roofErr w:type="gramStart"/>
      <w:r w:rsidR="00F57372">
        <w:rPr>
          <w:szCs w:val="24"/>
        </w:rPr>
        <w:t>);</w:t>
      </w:r>
      <w:proofErr w:type="gramEnd"/>
    </w:p>
    <w:p w14:paraId="509EEBB1" w14:textId="283A0975" w:rsidR="00F57372" w:rsidRPr="00F57372" w:rsidRDefault="00215078" w:rsidP="00F57372">
      <w:pPr>
        <w:pStyle w:val="ListParagraph"/>
        <w:numPr>
          <w:ilvl w:val="0"/>
          <w:numId w:val="4"/>
        </w:numPr>
        <w:jc w:val="both"/>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rsidP="00E62DA9">
      <w:pPr>
        <w:ind w:left="720" w:hanging="360"/>
        <w:jc w:val="both"/>
      </w:pPr>
      <w:r>
        <w:rPr>
          <w:szCs w:val="24"/>
        </w:rPr>
        <w:t xml:space="preserve">For objective 3, </w:t>
      </w:r>
      <w:r w:rsidR="00215078" w:rsidRPr="002F75CE">
        <w:t xml:space="preserve">Russet Burbank potatoes will be planted in </w:t>
      </w:r>
      <w:commentRangeStart w:id="4"/>
      <w:commentRangeStart w:id="5"/>
      <w:r w:rsidR="00215078" w:rsidRPr="002F75CE">
        <w:t xml:space="preserve">common garden </w:t>
      </w:r>
      <w:commentRangeEnd w:id="4"/>
      <w:r w:rsidR="00972273">
        <w:rPr>
          <w:rStyle w:val="CommentReference"/>
        </w:rPr>
        <w:commentReference w:id="4"/>
      </w:r>
      <w:commentRangeEnd w:id="5"/>
      <w:r w:rsidR="004A70E6">
        <w:rPr>
          <w:rStyle w:val="CommentReference"/>
        </w:rPr>
        <w:commentReference w:id="5"/>
      </w:r>
      <w:r w:rsidR="00215078" w:rsidRPr="002F75CE">
        <w:t>microplots</w:t>
      </w:r>
    </w:p>
    <w:p w14:paraId="7D3DAD04" w14:textId="08E6CF7A" w:rsidR="00E62DA9" w:rsidRDefault="00215078" w:rsidP="00E62DA9">
      <w:pPr>
        <w:jc w:val="both"/>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ins w:id="6" w:author="Wheeler, David Linnard" w:date="2020-11-23T13:58:00Z">
        <w:r w:rsidR="004A70E6">
          <w:t>More specifically, after soils are characterized in objective 2, the</w:t>
        </w:r>
      </w:ins>
      <w:ins w:id="7" w:author="Wheeler, David Linnard" w:date="2020-11-23T13:59:00Z">
        <w:r w:rsidR="004A70E6">
          <w:t xml:space="preserve">y will all be transferred to a common location and used to fill microplots. </w:t>
        </w:r>
      </w:ins>
      <w:r w:rsidR="00E62DA9">
        <w:t xml:space="preserve">The location of these microplots has yet to be determined but the PIs plan to install them </w:t>
      </w:r>
      <w:r w:rsidR="009D0CEB">
        <w:t>on a farm in</w:t>
      </w:r>
      <w:r w:rsidR="00E62DA9">
        <w:t xml:space="preserve"> Pullman, WA.</w:t>
      </w:r>
      <w:r w:rsidRPr="002F75CE">
        <w:t xml:space="preserve"> </w:t>
      </w:r>
      <w:r w:rsidR="00E62DA9">
        <w:t>The treatment structure of the trial will be</w:t>
      </w:r>
      <w:r w:rsidR="0003730B">
        <w:t xml:space="preserve"> two-way factorial design where each level of the first factor (soil: virgin and non-virgin soil) will be </w:t>
      </w:r>
      <w:commentRangeStart w:id="8"/>
      <w:commentRangeStart w:id="9"/>
      <w:r w:rsidR="0003730B">
        <w:t>replicated 5 times</w:t>
      </w:r>
      <w:r w:rsidR="00E62DA9">
        <w:t xml:space="preserve"> </w:t>
      </w:r>
      <w:r w:rsidR="0003730B">
        <w:t>within each level of the second factor (state: Washington and Oregon)</w:t>
      </w:r>
      <w:commentRangeEnd w:id="8"/>
      <w:r w:rsidR="008516A4">
        <w:rPr>
          <w:rStyle w:val="CommentReference"/>
        </w:rPr>
        <w:commentReference w:id="8"/>
      </w:r>
      <w:commentRangeEnd w:id="9"/>
      <w:r w:rsidR="004A70E6">
        <w:rPr>
          <w:rStyle w:val="CommentReference"/>
        </w:rPr>
        <w:commentReference w:id="9"/>
      </w:r>
      <w:r w:rsidR="0003730B">
        <w:t xml:space="preserve">. Microplots will be arranged in a </w:t>
      </w:r>
      <w:commentRangeStart w:id="10"/>
      <w:commentRangeStart w:id="11"/>
      <w:commentRangeStart w:id="12"/>
      <w:r w:rsidR="0003730B">
        <w:t>randomized complete block design</w:t>
      </w:r>
      <w:commentRangeEnd w:id="10"/>
      <w:r w:rsidR="00B06199">
        <w:rPr>
          <w:rStyle w:val="CommentReference"/>
        </w:rPr>
        <w:commentReference w:id="10"/>
      </w:r>
      <w:commentRangeEnd w:id="11"/>
      <w:r w:rsidR="00972273">
        <w:rPr>
          <w:rStyle w:val="CommentReference"/>
        </w:rPr>
        <w:commentReference w:id="11"/>
      </w:r>
      <w:commentRangeEnd w:id="12"/>
      <w:r w:rsidR="00FF6681">
        <w:rPr>
          <w:rStyle w:val="CommentReference"/>
        </w:rPr>
        <w:commentReference w:id="12"/>
      </w:r>
      <w:r w:rsidR="0003730B">
        <w:t xml:space="preserve"> along the predominate environmental gradient at the site of installation. </w:t>
      </w:r>
      <w:r w:rsidRPr="002F75CE">
        <w:t xml:space="preserve">Disease expression will be assessed </w:t>
      </w:r>
      <w:r w:rsidR="00E62DA9">
        <w:t xml:space="preserve">at least five times </w:t>
      </w:r>
      <w:r w:rsidRPr="002F75CE">
        <w:t xml:space="preserve">throughout the growing season. Yields </w:t>
      </w:r>
      <w:r w:rsidR="00E62DA9">
        <w:t xml:space="preserve">and </w:t>
      </w:r>
      <w:r w:rsidR="00E62DA9">
        <w:lastRenderedPageBreak/>
        <w:t>tuber quality will be determined</w:t>
      </w:r>
      <w:r w:rsidRPr="002F75CE">
        <w:t xml:space="preserve"> for each </w:t>
      </w:r>
      <w:r w:rsidR="00E62DA9">
        <w:t xml:space="preserve">experimental unit (plant in microplot). </w:t>
      </w:r>
      <w:r w:rsidR="00382066">
        <w:t>Objective 3 will be completed by DL Wheeler.</w:t>
      </w:r>
    </w:p>
    <w:p w14:paraId="5948603C" w14:textId="5E3E7881" w:rsidR="00215078" w:rsidRDefault="00E62DA9" w:rsidP="00E62DA9">
      <w:pPr>
        <w:ind w:firstLine="360"/>
        <w:jc w:val="both"/>
      </w:pPr>
      <w:r>
        <w:t>Finally, for objective 4, a</w:t>
      </w:r>
      <w:r w:rsidR="00215078" w:rsidRPr="002F75CE">
        <w:t xml:space="preserve">ssociations between virgin and non-virgin soils and soil properties will be </w:t>
      </w:r>
      <w:r>
        <w:t xml:space="preserve">first </w:t>
      </w:r>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 xml:space="preserve">Ordination methods (e.g. non-metric multidimensional scaling, principal components analysis, </w:t>
      </w:r>
      <w:proofErr w:type="spellStart"/>
      <w:r w:rsidR="0003730B">
        <w:t>etc</w:t>
      </w:r>
      <w:proofErr w:type="spellEnd"/>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797A2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4738BA64" w:rsidR="00026ACF" w:rsidRDefault="006337A1" w:rsidP="00CC3829">
      <w:pPr>
        <w:ind w:firstLine="360"/>
      </w:pPr>
      <w:r>
        <w:rPr>
          <w:noProof/>
        </w:rPr>
        <w:drawing>
          <wp:anchor distT="0" distB="0" distL="114300" distR="114300" simplePos="0" relativeHeight="251661312" behindDoc="0" locked="0" layoutInCell="1" allowOverlap="1" wp14:anchorId="3EF58EF0" wp14:editId="1E09F849">
            <wp:simplePos x="0" y="0"/>
            <wp:positionH relativeFrom="margin">
              <wp:posOffset>12700</wp:posOffset>
            </wp:positionH>
            <wp:positionV relativeFrom="margin">
              <wp:posOffset>2440922</wp:posOffset>
            </wp:positionV>
            <wp:extent cx="5943600" cy="2952115"/>
            <wp:effectExtent l="12700" t="12700" r="12700" b="698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2115"/>
                    </a:xfrm>
                    <a:prstGeom prst="rect">
                      <a:avLst/>
                    </a:prstGeom>
                    <a:ln>
                      <a:solidFill>
                        <a:schemeClr val="tx1"/>
                      </a:solidFill>
                    </a:ln>
                  </pic:spPr>
                </pic:pic>
              </a:graphicData>
            </a:graphic>
          </wp:anchor>
        </w:drawing>
      </w:r>
      <w:r w:rsidR="00026ACF">
        <w:rPr>
          <w:noProof/>
        </w:rPr>
        <mc:AlternateContent>
          <mc:Choice Requires="wps">
            <w:drawing>
              <wp:anchor distT="0" distB="0" distL="114300" distR="114300" simplePos="0" relativeHeight="251660288" behindDoc="0" locked="0" layoutInCell="1" allowOverlap="1" wp14:anchorId="5EC25D87" wp14:editId="3E3867BA">
                <wp:simplePos x="0" y="0"/>
                <wp:positionH relativeFrom="column">
                  <wp:posOffset>95250</wp:posOffset>
                </wp:positionH>
                <wp:positionV relativeFrom="paragraph">
                  <wp:posOffset>3152775</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7.5pt;margin-top:248.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nhAoeOMAAAAPAQAADwAAAGRycy9kb3ducmV2&#13;&#10;LnhtbExPPU/DMBDdkfgP1iGxIOoUkoimcaqqwECXitCFzY2vcSC2I9tpw7/nYIHlpPfu7n2Uq8n0&#13;&#10;7IQ+dM4KmM8SYGgbpzrbCti/Pd8+AAtRWiV7Z1HAFwZYVZcXpSyUO9tXPNWxZSRiQyEF6BiHgvPQ&#13;&#10;aDQyzNyAlnZH542MBH3LlZdnEjc9v0uSnBvZWXLQcsCNxuazHo2AXfq+0zfj8Wm7Tu/9y37c5B9t&#13;&#10;LcT11fS4pLFeAos4xb8P+OlA+aGiYAc3WhVYTzijPlFAusgzYHSwyObEHH6ZHHhV8v89qm8A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nhAoeOMAAAAP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666B8E23" w:rsidR="00D95E26" w:rsidRPr="00382066" w:rsidRDefault="00D95E26" w:rsidP="00026ACF">
      <w:pPr>
        <w:ind w:firstLine="360"/>
      </w:pPr>
    </w:p>
    <w:p w14:paraId="1E790BDB" w14:textId="68D6098A"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4C9E412B" w:rsidR="00D95E26" w:rsidRDefault="00BA629E"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Cs w:val="24"/>
        </w:rPr>
      </w:pPr>
      <w:r>
        <w:rPr>
          <w:szCs w:val="24"/>
        </w:rPr>
        <w:t>DL Wheeler and SGC</w:t>
      </w:r>
      <w:r w:rsidRPr="00FD39CB">
        <w:rPr>
          <w:szCs w:val="24"/>
        </w:rPr>
        <w:t xml:space="preserve"> </w:t>
      </w:r>
      <w:r>
        <w:rPr>
          <w:szCs w:val="24"/>
        </w:rPr>
        <w:t>Upadhaya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support from M Kleber and D Myrold.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support from I Zasada (USDA-ARS/OSU).</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4F8358A0"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1793D2B5" w:rsidR="009D0CEB" w:rsidRDefault="00FD18F0"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pPr>
      <w:r>
        <w:t>In the short term, we will describe how differences in virgin and non-virgin soils contribute to potato health.</w:t>
      </w:r>
      <w:r w:rsidR="009D0CEB">
        <w:t xml:space="preserve"> More specifically, we will identify the soil physical, chemical and biological </w:t>
      </w:r>
      <w:r w:rsidR="009D0CEB">
        <w:lastRenderedPageBreak/>
        <w:t>(including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525493EF" w:rsidR="00EA5CA7" w:rsidRDefault="00EA5CA7"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reproduce these effects in commercial potato fields with non-virgin soils. Ultimately, the authors hope that this research will help sustain the potato industry in the Northwest.</w:t>
      </w:r>
      <w:r w:rsidR="00A25EE2">
        <w:t xml:space="preserve"> </w:t>
      </w:r>
      <w:r>
        <w:t xml:space="preserve"> </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rsidP="00584632">
            <w:pPr>
              <w:pStyle w:val="NormalWeb"/>
              <w:numPr>
                <w:ilvl w:val="0"/>
                <w:numId w:val="3"/>
              </w:numPr>
              <w:ind w:left="360"/>
              <w:jc w:val="both"/>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rsidP="00584632">
            <w:pPr>
              <w:pStyle w:val="ListParagraph"/>
              <w:numPr>
                <w:ilvl w:val="0"/>
                <w:numId w:val="3"/>
              </w:numPr>
              <w:ind w:left="360"/>
              <w:jc w:val="both"/>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7" w:history="1">
              <w:r w:rsidRPr="00044503">
                <w:rPr>
                  <w:rStyle w:val="Hyperlink"/>
                  <w:rFonts w:ascii="Times" w:hAnsi="Times"/>
                  <w:szCs w:val="24"/>
                </w:rPr>
                <w:t>https://doi.org/10.1111/ejss.12901</w:t>
              </w:r>
            </w:hyperlink>
          </w:p>
          <w:p w14:paraId="160B422A" w14:textId="40466BDB" w:rsidR="00C172A5" w:rsidRPr="00044503" w:rsidRDefault="00C172A5"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tc>
      </w:tr>
      <w:tr w:rsidR="00C172A5" w14:paraId="16E5770B" w14:textId="77777777" w:rsidTr="00584632">
        <w:trPr>
          <w:trHeight w:val="755"/>
        </w:trPr>
        <w:tc>
          <w:tcPr>
            <w:tcW w:w="10165" w:type="dxa"/>
          </w:tcPr>
          <w:p w14:paraId="22259583" w14:textId="4B061B12" w:rsidR="004B008D" w:rsidRPr="00044503" w:rsidRDefault="004B008D" w:rsidP="00026ACF">
            <w:pPr>
              <w:pStyle w:val="ListParagraph"/>
              <w:numPr>
                <w:ilvl w:val="0"/>
                <w:numId w:val="3"/>
              </w:numPr>
              <w:ind w:left="360"/>
              <w:jc w:val="both"/>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rsidP="00584632">
            <w:pPr>
              <w:pStyle w:val="NormalWeb"/>
              <w:numPr>
                <w:ilvl w:val="0"/>
                <w:numId w:val="3"/>
              </w:numPr>
              <w:ind w:left="360"/>
              <w:jc w:val="both"/>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rsidP="00584632">
            <w:pPr>
              <w:pStyle w:val="ListParagraph"/>
              <w:numPr>
                <w:ilvl w:val="0"/>
                <w:numId w:val="3"/>
              </w:numPr>
              <w:ind w:left="360"/>
              <w:jc w:val="both"/>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8">
              <w:r w:rsidRPr="001859C8">
                <w:rPr>
                  <w:color w:val="000000" w:themeColor="text1"/>
                  <w:szCs w:val="24"/>
                  <w:highlight w:val="white"/>
                  <w:u w:val="single"/>
                </w:rPr>
                <w:t>https://doi:10.1002/ldr.2328</w:t>
              </w:r>
            </w:hyperlink>
          </w:p>
        </w:tc>
      </w:tr>
      <w:tr w:rsidR="00C172A5" w14:paraId="3D6B2DCD" w14:textId="77777777" w:rsidTr="00584632">
        <w:trPr>
          <w:trHeight w:val="720"/>
        </w:trPr>
        <w:tc>
          <w:tcPr>
            <w:tcW w:w="10165" w:type="dxa"/>
          </w:tcPr>
          <w:p w14:paraId="7C149A2A" w14:textId="222C20BE" w:rsidR="00C172A5" w:rsidRPr="00044503" w:rsidRDefault="00CC541B" w:rsidP="00584632">
            <w:pPr>
              <w:pStyle w:val="NormalWeb"/>
              <w:numPr>
                <w:ilvl w:val="0"/>
                <w:numId w:val="3"/>
              </w:numPr>
              <w:ind w:left="360"/>
              <w:jc w:val="both"/>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rsidP="00584632">
            <w:pPr>
              <w:pStyle w:val="NormalWeb"/>
              <w:numPr>
                <w:ilvl w:val="0"/>
                <w:numId w:val="3"/>
              </w:numPr>
              <w:ind w:left="360"/>
              <w:jc w:val="both"/>
            </w:pPr>
            <w:r>
              <w:lastRenderedPageBreak/>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jc w:val="both"/>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Pr>
                <w:rFonts w:ascii="Times" w:hAnsi="Times"/>
              </w:rPr>
              <w:t xml:space="preserve">Norris CE, GM Bean, SB </w:t>
            </w:r>
            <w:proofErr w:type="spellStart"/>
            <w:r>
              <w:rPr>
                <w:rFonts w:ascii="Times" w:hAnsi="Times"/>
              </w:rPr>
              <w:t>Cappellazzi</w:t>
            </w:r>
            <w:proofErr w:type="spellEnd"/>
            <w:r>
              <w:rPr>
                <w:rFonts w:ascii="Times" w:hAnsi="Times"/>
              </w:rPr>
              <w:t xml:space="preserve">, M Cope, KLH </w:t>
            </w:r>
            <w:proofErr w:type="spellStart"/>
            <w:r>
              <w:rPr>
                <w:rFonts w:ascii="Times" w:hAnsi="Times"/>
              </w:rPr>
              <w:t>Greub</w:t>
            </w:r>
            <w:proofErr w:type="spellEnd"/>
            <w:r>
              <w:rPr>
                <w:rFonts w:ascii="Times" w:hAnsi="Times"/>
              </w:rPr>
              <w:t xml:space="preserve">, D </w:t>
            </w:r>
            <w:proofErr w:type="spellStart"/>
            <w:r>
              <w:rPr>
                <w:rFonts w:ascii="Times" w:hAnsi="Times"/>
              </w:rPr>
              <w:t>Liptzin</w:t>
            </w:r>
            <w:proofErr w:type="spellEnd"/>
            <w:r>
              <w:rPr>
                <w:rFonts w:ascii="Times" w:hAnsi="Times"/>
              </w:rPr>
              <w:t>,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p w14:paraId="5675A122" w14:textId="77777777" w:rsidR="00C172A5" w:rsidRPr="00FF09A7"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p w14:paraId="53C8E4B8" w14:textId="479C6904" w:rsidR="00392FBB" w:rsidRPr="00FF09A7" w:rsidRDefault="00392FBB"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w:hAnsi="Times"/>
              </w:rPr>
            </w:pPr>
          </w:p>
        </w:tc>
      </w:tr>
      <w:tr w:rsidR="00C172A5" w14:paraId="01A4C253" w14:textId="77777777" w:rsidTr="00584632">
        <w:trPr>
          <w:trHeight w:val="710"/>
        </w:trPr>
        <w:tc>
          <w:tcPr>
            <w:tcW w:w="10165" w:type="dxa"/>
          </w:tcPr>
          <w:p w14:paraId="2CCAF84F" w14:textId="02AE48D9"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rsidP="008A1B55">
            <w:pPr>
              <w:pStyle w:val="NormalWeb"/>
              <w:numPr>
                <w:ilvl w:val="0"/>
                <w:numId w:val="3"/>
              </w:numPr>
              <w:ind w:left="360"/>
              <w:jc w:val="both"/>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584632">
        <w:trPr>
          <w:trHeight w:val="701"/>
        </w:trPr>
        <w:tc>
          <w:tcPr>
            <w:tcW w:w="10165" w:type="dxa"/>
          </w:tcPr>
          <w:p w14:paraId="2F96E090" w14:textId="09961E86" w:rsidR="00C0483A" w:rsidRPr="00C0483A" w:rsidRDefault="00C0483A" w:rsidP="008A1B55">
            <w:pPr>
              <w:pStyle w:val="ListParagraph"/>
              <w:numPr>
                <w:ilvl w:val="0"/>
                <w:numId w:val="3"/>
              </w:numPr>
              <w:ind w:left="360"/>
              <w:jc w:val="both"/>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9">
              <w:r w:rsidRPr="00C0483A">
                <w:rPr>
                  <w:color w:val="000000" w:themeColor="text1"/>
                  <w:szCs w:val="24"/>
                  <w:u w:val="single"/>
                </w:rPr>
                <w:t>https://doi:10.1080/13102818.2018.1459208</w:t>
              </w:r>
            </w:hyperlink>
          </w:p>
          <w:p w14:paraId="3B15FEE2" w14:textId="77777777" w:rsidR="004B008D" w:rsidRPr="00044503" w:rsidRDefault="004B008D"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20"/>
          <w:headerReference w:type="default" r:id="rId21"/>
          <w:footerReference w:type="even" r:id="rId22"/>
          <w:footerReference w:type="default" r:id="rId23"/>
          <w:pgSz w:w="12240" w:h="15840" w:orient="landscape"/>
          <w:pgMar w:top="1440" w:right="1440" w:bottom="1488" w:left="1440" w:header="720" w:footer="1008" w:gutter="0"/>
          <w:cols w:space="720"/>
        </w:sectPr>
      </w:pPr>
    </w:p>
    <w:p w14:paraId="5A7CEA2C" w14:textId="349A298D"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w:t>
      </w:r>
    </w:p>
    <w:p w14:paraId="79F84FDA" w14:textId="77777777" w:rsidR="0063678E" w:rsidRDefault="0063678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10882" w:type="dxa"/>
        <w:tblLayout w:type="fixed"/>
        <w:tblCellMar>
          <w:left w:w="0" w:type="dxa"/>
          <w:right w:w="0" w:type="dxa"/>
        </w:tblCellMar>
        <w:tblLook w:val="04A0" w:firstRow="1" w:lastRow="0" w:firstColumn="1" w:lastColumn="0" w:noHBand="0" w:noVBand="1"/>
      </w:tblPr>
      <w:tblGrid>
        <w:gridCol w:w="2560"/>
        <w:gridCol w:w="1932"/>
        <w:gridCol w:w="1980"/>
        <w:gridCol w:w="1710"/>
        <w:gridCol w:w="1620"/>
        <w:gridCol w:w="1080"/>
      </w:tblGrid>
      <w:tr w:rsidR="00C96BD9" w:rsidRPr="00C96BD9" w14:paraId="11368A4F" w14:textId="77777777" w:rsidTr="00C96BD9">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rsidP="00C96BD9">
            <w:pPr>
              <w:rPr>
                <w:rFonts w:ascii="Times" w:hAnsi="Times" w:cs="Calibri"/>
                <w:b/>
                <w:bCs/>
                <w:szCs w:val="24"/>
              </w:rPr>
            </w:pPr>
            <w:r w:rsidRPr="00C96BD9">
              <w:rPr>
                <w:rFonts w:ascii="Times" w:hAnsi="Times" w:cs="Calibri"/>
                <w:b/>
                <w:bCs/>
                <w:szCs w:val="24"/>
              </w:rPr>
              <w:t>FY 2021-22</w:t>
            </w:r>
          </w:p>
        </w:tc>
        <w:tc>
          <w:tcPr>
            <w:tcW w:w="193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rsidP="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7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62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rsidP="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C96BD9">
            <w:pPr>
              <w:rPr>
                <w:rFonts w:ascii="Times" w:hAnsi="Times" w:cs="Calibri"/>
                <w:b/>
                <w:bCs/>
                <w:szCs w:val="24"/>
              </w:rPr>
            </w:pPr>
            <w:r w:rsidRPr="00C96BD9">
              <w:rPr>
                <w:rFonts w:ascii="Times" w:hAnsi="Times" w:cs="Calibri"/>
                <w:b/>
                <w:bCs/>
                <w:szCs w:val="24"/>
              </w:rPr>
              <w:t>Salaries: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C96BD9">
            <w:pPr>
              <w:jc w:val="right"/>
              <w:rPr>
                <w:rFonts w:ascii="Times" w:hAnsi="Times" w:cs="Calibri"/>
                <w:szCs w:val="24"/>
              </w:rPr>
            </w:pPr>
            <w:r w:rsidRPr="00C96BD9">
              <w:rPr>
                <w:rFonts w:ascii="Times" w:hAnsi="Times" w:cs="Calibri"/>
                <w:szCs w:val="24"/>
              </w:rPr>
              <w:t>12,000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C96BD9">
            <w:pPr>
              <w:jc w:val="right"/>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C96BD9">
            <w:pPr>
              <w:jc w:val="right"/>
              <w:rPr>
                <w:rFonts w:ascii="Times" w:hAnsi="Times" w:cs="Calibri"/>
                <w:szCs w:val="24"/>
              </w:rPr>
            </w:pPr>
            <w:r w:rsidRPr="00C96BD9">
              <w:rPr>
                <w:rFonts w:ascii="Times" w:hAnsi="Times" w:cs="Calibri"/>
                <w:szCs w:val="24"/>
              </w:rPr>
              <w:t>10,080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rsidP="00C96BD9">
            <w:pPr>
              <w:jc w:val="right"/>
              <w:rPr>
                <w:rFonts w:ascii="Times" w:hAnsi="Times" w:cs="Calibri"/>
                <w:szCs w:val="24"/>
              </w:rPr>
            </w:pPr>
            <w:r>
              <w:rPr>
                <w:rFonts w:ascii="Times" w:hAnsi="Times" w:cs="Calibri"/>
                <w:szCs w:val="24"/>
              </w:rPr>
              <w:t>29,555</w:t>
            </w:r>
          </w:p>
        </w:tc>
      </w:tr>
      <w:tr w:rsidR="00C96BD9" w:rsidRPr="00C96BD9" w14:paraId="53029C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FC6FEF"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5F1259"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F90D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3430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DFE1C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54E89" w14:textId="77777777" w:rsidR="00C96BD9" w:rsidRPr="00C96BD9" w:rsidRDefault="00C96BD9" w:rsidP="00C96BD9">
            <w:pPr>
              <w:rPr>
                <w:rFonts w:ascii="Times" w:hAnsi="Times"/>
                <w:szCs w:val="24"/>
              </w:rPr>
            </w:pPr>
          </w:p>
        </w:tc>
      </w:tr>
      <w:tr w:rsidR="00C96BD9" w:rsidRPr="00C96BD9" w14:paraId="6805E8A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6FD266FA"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B2D61"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8AC7E"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E37D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00F35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35DD2"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2EA46" w14:textId="77777777" w:rsidR="00C96BD9" w:rsidRPr="00C96BD9" w:rsidRDefault="00C96BD9" w:rsidP="00C96BD9">
            <w:pPr>
              <w:rPr>
                <w:rFonts w:ascii="Times" w:hAnsi="Times"/>
                <w:szCs w:val="24"/>
              </w:rPr>
            </w:pPr>
          </w:p>
        </w:tc>
      </w:tr>
      <w:tr w:rsidR="00C96BD9" w:rsidRPr="00C96BD9" w14:paraId="167C6225"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rsidP="00C96BD9">
            <w:pPr>
              <w:rPr>
                <w:rFonts w:ascii="Times" w:hAnsi="Times" w:cs="Calibri"/>
                <w:b/>
                <w:bCs/>
                <w:szCs w:val="24"/>
              </w:rPr>
            </w:pPr>
            <w:r w:rsidRPr="00C96BD9">
              <w:rPr>
                <w:rFonts w:ascii="Times" w:hAnsi="Times" w:cs="Calibri"/>
                <w:b/>
                <w:bCs/>
                <w:szCs w:val="24"/>
              </w:rPr>
              <w:t>Employee Benefits (OPE):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rsidP="00C96BD9">
            <w:pPr>
              <w:jc w:val="right"/>
              <w:rPr>
                <w:rFonts w:ascii="Times" w:hAnsi="Times" w:cs="Calibri"/>
                <w:szCs w:val="24"/>
              </w:rPr>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C96BD9">
            <w:pPr>
              <w:jc w:val="right"/>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C96BD9">
            <w:pPr>
              <w:jc w:val="right"/>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rsidP="00C96BD9">
            <w:pPr>
              <w:jc w:val="right"/>
              <w:rPr>
                <w:rFonts w:ascii="Times" w:hAnsi="Times" w:cs="Calibri"/>
                <w:szCs w:val="24"/>
              </w:rPr>
            </w:pPr>
            <w:r>
              <w:rPr>
                <w:rFonts w:ascii="Times" w:hAnsi="Times" w:cs="Calibri"/>
                <w:szCs w:val="24"/>
              </w:rPr>
              <w:t>9,358</w:t>
            </w:r>
          </w:p>
        </w:tc>
      </w:tr>
      <w:tr w:rsidR="00C96BD9" w:rsidRPr="00C96BD9" w14:paraId="659D9A8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CDD2C6"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1BCBA6"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60715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95F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3F74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2EC3C" w14:textId="77777777" w:rsidR="00C96BD9" w:rsidRPr="00C96BD9" w:rsidRDefault="00C96BD9" w:rsidP="00C96BD9">
            <w:pPr>
              <w:rPr>
                <w:rFonts w:ascii="Times" w:hAnsi="Times"/>
                <w:szCs w:val="24"/>
              </w:rPr>
            </w:pPr>
          </w:p>
        </w:tc>
      </w:tr>
      <w:tr w:rsidR="00C96BD9" w:rsidRPr="00C96BD9" w14:paraId="24D8057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E19FD"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7DCC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5E487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DD1B8"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3625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D151" w14:textId="77777777" w:rsidR="00C96BD9" w:rsidRPr="00C96BD9" w:rsidRDefault="00C96BD9" w:rsidP="00C96BD9">
            <w:pPr>
              <w:rPr>
                <w:rFonts w:ascii="Times" w:hAnsi="Times"/>
                <w:szCs w:val="24"/>
              </w:rPr>
            </w:pPr>
          </w:p>
        </w:tc>
      </w:tr>
      <w:tr w:rsidR="00C96BD9" w:rsidRPr="00C96BD9" w14:paraId="6C55146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567595"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E99652"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387C51"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5EF90"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453B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D26C5" w14:textId="77777777" w:rsidR="00C96BD9" w:rsidRPr="00C96BD9" w:rsidRDefault="00C96BD9" w:rsidP="00C96BD9">
            <w:pPr>
              <w:rPr>
                <w:rFonts w:ascii="Times" w:hAnsi="Times"/>
                <w:szCs w:val="24"/>
              </w:rPr>
            </w:pPr>
          </w:p>
        </w:tc>
      </w:tr>
      <w:tr w:rsidR="00C96BD9" w:rsidRPr="00C96BD9" w14:paraId="61C2CC82"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BABA7" w14:textId="77777777" w:rsidR="00C96BD9" w:rsidRPr="00C96BD9" w:rsidRDefault="00C96BD9" w:rsidP="00C96BD9">
            <w:pPr>
              <w:rPr>
                <w:rFonts w:ascii="Times" w:hAnsi="Times" w:cs="Calibri"/>
                <w:szCs w:val="24"/>
              </w:rPr>
            </w:pPr>
            <w:r w:rsidRPr="00C96BD9">
              <w:rPr>
                <w:rFonts w:ascii="Times" w:hAnsi="Times" w:cs="Calibri"/>
                <w:szCs w:val="24"/>
              </w:rPr>
              <w:t>Equipment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4D40C"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77BAE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A3B5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D4139D"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123AF" w14:textId="77777777" w:rsidR="00C96BD9" w:rsidRPr="00C96BD9" w:rsidRDefault="00C96BD9" w:rsidP="00C96BD9">
            <w:pPr>
              <w:rPr>
                <w:rFonts w:ascii="Times" w:hAnsi="Times"/>
                <w:szCs w:val="24"/>
              </w:rPr>
            </w:pPr>
          </w:p>
        </w:tc>
      </w:tr>
      <w:tr w:rsidR="00C96BD9" w:rsidRPr="00C96BD9" w14:paraId="601E27B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rsidP="00C96BD9">
            <w:pPr>
              <w:rPr>
                <w:rFonts w:ascii="Times" w:hAnsi="Times" w:cs="Calibri"/>
                <w:szCs w:val="24"/>
              </w:rPr>
            </w:pPr>
            <w:r w:rsidRPr="00C96BD9">
              <w:rPr>
                <w:rFonts w:ascii="Times" w:hAnsi="Times" w:cs="Calibri"/>
                <w:szCs w:val="24"/>
              </w:rPr>
              <w:t>Travel: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406F35A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C96BD9">
            <w:pPr>
              <w:rPr>
                <w:rFonts w:ascii="Times" w:hAnsi="Times" w:cs="Calibri"/>
                <w:b/>
                <w:bCs/>
                <w:szCs w:val="24"/>
              </w:rPr>
            </w:pPr>
            <w:r w:rsidRPr="00C96BD9">
              <w:rPr>
                <w:rFonts w:ascii="Times" w:hAnsi="Times" w:cs="Calibri"/>
                <w:b/>
                <w:bCs/>
                <w:szCs w:val="24"/>
              </w:rPr>
              <w:t>Operating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rsidP="00C96BD9">
            <w:pPr>
              <w:rPr>
                <w:rFonts w:ascii="Times" w:hAnsi="Times"/>
                <w:szCs w:val="24"/>
              </w:rPr>
            </w:pPr>
          </w:p>
        </w:tc>
      </w:tr>
      <w:tr w:rsidR="00C96BD9" w:rsidRPr="00C96BD9" w14:paraId="66617CDE"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C96BD9">
            <w:pPr>
              <w:rPr>
                <w:rFonts w:ascii="Times" w:hAnsi="Times" w:cs="Calibri"/>
                <w:color w:val="FF0000"/>
                <w:szCs w:val="24"/>
              </w:rPr>
            </w:pPr>
            <w:r w:rsidRPr="00C96BD9">
              <w:rPr>
                <w:rFonts w:ascii="Times" w:hAnsi="Times" w:cs="Calibri"/>
                <w:color w:val="000000" w:themeColor="text1"/>
                <w:szCs w:val="24"/>
              </w:rPr>
              <w:t>Sampling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C96BD9">
            <w:pPr>
              <w:jc w:val="right"/>
              <w:rPr>
                <w:rFonts w:ascii="Times" w:hAnsi="Times" w:cs="Calibri"/>
                <w:szCs w:val="24"/>
              </w:rPr>
            </w:pPr>
            <w:r>
              <w:rPr>
                <w:rFonts w:ascii="Times" w:hAnsi="Times" w:cs="Calibri"/>
                <w:szCs w:val="24"/>
              </w:rPr>
              <w:t>1,500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C96BD9">
            <w:pPr>
              <w:jc w:val="right"/>
              <w:rPr>
                <w:rFonts w:ascii="Times" w:hAnsi="Times" w:cs="Calibri"/>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C96BD9">
            <w:pPr>
              <w:jc w:val="right"/>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Lab and microplot supplies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C96BD9">
            <w:pPr>
              <w:jc w:val="right"/>
              <w:rPr>
                <w:rFonts w:ascii="Times" w:hAnsi="Times" w:cs="Calibri"/>
                <w:szCs w:val="24"/>
              </w:rPr>
            </w:pPr>
            <w:r w:rsidRPr="00C96BD9">
              <w:rPr>
                <w:rFonts w:ascii="Times" w:hAnsi="Times" w:cs="Calibri"/>
                <w:szCs w:val="24"/>
              </w:rPr>
              <w:t>4,000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C96BD9">
            <w:pPr>
              <w:jc w:val="right"/>
              <w:rPr>
                <w:rFonts w:ascii="Times" w:hAnsi="Times" w:cs="Calibri"/>
                <w:szCs w:val="24"/>
              </w:rPr>
            </w:pPr>
            <w:r>
              <w:rPr>
                <w:rFonts w:ascii="Times" w:hAnsi="Times" w:cs="Calibri"/>
                <w:szCs w:val="24"/>
              </w:rPr>
              <w:t>655</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C96BD9">
            <w:pPr>
              <w:jc w:val="right"/>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C96BD9">
            <w:pPr>
              <w:rPr>
                <w:rFonts w:ascii="Times" w:hAnsi="Times" w:cs="Calibri"/>
                <w:color w:val="121416"/>
                <w:szCs w:val="24"/>
              </w:rPr>
            </w:pPr>
            <w:r>
              <w:rPr>
                <w:rFonts w:ascii="Times" w:hAnsi="Times" w:cs="Calibri"/>
                <w:color w:val="121416"/>
                <w:szCs w:val="24"/>
              </w:rPr>
              <w:t>Culturing pathogens from soil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C96BD9">
            <w:pPr>
              <w:jc w:val="right"/>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C96BD9">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C96BD9">
            <w:pPr>
              <w:jc w:val="right"/>
              <w:rPr>
                <w:rFonts w:ascii="Times" w:hAnsi="Times" w:cs="Calibri"/>
                <w:szCs w:val="24"/>
              </w:rPr>
            </w:pPr>
            <w:r>
              <w:rPr>
                <w:rFonts w:ascii="Times" w:hAnsi="Times" w:cs="Calibri"/>
                <w:szCs w:val="24"/>
              </w:rPr>
              <w:t>2,000</w:t>
            </w:r>
          </w:p>
        </w:tc>
      </w:tr>
      <w:tr w:rsidR="00C96BD9" w:rsidRPr="00C96BD9" w14:paraId="37A77B7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DNA extraction and sequencing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C96BD9">
            <w:pPr>
              <w:jc w:val="right"/>
              <w:rPr>
                <w:rFonts w:ascii="Times" w:hAnsi="Times" w:cs="Calibri"/>
                <w:szCs w:val="24"/>
              </w:rPr>
            </w:pPr>
            <w:r>
              <w:rPr>
                <w:rFonts w:ascii="Times" w:hAnsi="Times" w:cs="Calibri"/>
                <w:szCs w:val="24"/>
              </w:rPr>
              <w:t>5,715</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C96BD9">
            <w:pPr>
              <w:jc w:val="right"/>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Soil properties analysis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2FFD5772" w:rsidR="00C96BD9" w:rsidRPr="00C96BD9" w:rsidRDefault="0084772F" w:rsidP="00C96BD9">
            <w:pPr>
              <w:jc w:val="right"/>
              <w:rPr>
                <w:rFonts w:ascii="Times" w:hAnsi="Times" w:cs="Calibri"/>
                <w:szCs w:val="24"/>
              </w:rPr>
            </w:pPr>
            <w:r>
              <w:rPr>
                <w:rFonts w:ascii="Times" w:hAnsi="Times" w:cs="Calibri"/>
                <w:szCs w:val="24"/>
              </w:rPr>
              <w:t>3, 570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C96BD9">
            <w:pPr>
              <w:jc w:val="right"/>
              <w:rPr>
                <w:rFonts w:ascii="Times" w:hAnsi="Times" w:cs="Calibri"/>
                <w:szCs w:val="24"/>
              </w:rPr>
            </w:pPr>
            <w:r>
              <w:rPr>
                <w:rFonts w:ascii="Times" w:hAnsi="Times" w:cs="Calibri"/>
                <w:szCs w:val="24"/>
              </w:rPr>
              <w:t>3,570</w:t>
            </w:r>
          </w:p>
        </w:tc>
      </w:tr>
      <w:tr w:rsidR="00C96BD9" w:rsidRPr="00C96BD9" w14:paraId="2ADA3D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C96BD9">
            <w:pPr>
              <w:rPr>
                <w:rFonts w:ascii="Times" w:hAnsi="Times" w:cs="Calibri"/>
                <w:szCs w:val="24"/>
              </w:rPr>
            </w:pPr>
            <w:r w:rsidRPr="00C96BD9">
              <w:rPr>
                <w:rFonts w:ascii="Times" w:hAnsi="Times" w:cs="Calibri"/>
                <w:szCs w:val="24"/>
              </w:rPr>
              <w:t>Shipping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C96BD9">
            <w:pPr>
              <w:jc w:val="right"/>
              <w:rPr>
                <w:rFonts w:ascii="Times" w:hAnsi="Times" w:cs="Calibri"/>
                <w:szCs w:val="24"/>
              </w:rPr>
            </w:pPr>
            <w:r>
              <w:rPr>
                <w:rFonts w:ascii="Times" w:hAnsi="Times" w:cs="Calibri"/>
                <w:szCs w:val="24"/>
              </w:rPr>
              <w:t>200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C96BD9">
            <w:pPr>
              <w:jc w:val="right"/>
              <w:rPr>
                <w:rFonts w:ascii="Times" w:hAnsi="Times" w:cs="Calibri"/>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14:paraId="63BA6CE6"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86CB80" w14:textId="77777777" w:rsidR="00C96BD9" w:rsidRPr="00C96BD9" w:rsidRDefault="00C96BD9" w:rsidP="00C96BD9">
            <w:pPr>
              <w:rPr>
                <w:rFonts w:ascii="Times" w:hAnsi="Times" w:cs="Calibri"/>
                <w:b/>
                <w:bCs/>
                <w:szCs w:val="24"/>
              </w:rPr>
            </w:pPr>
            <w:r w:rsidRPr="00C96BD9">
              <w:rPr>
                <w:rFonts w:ascii="Times" w:hAnsi="Times" w:cs="Calibri"/>
                <w:b/>
                <w:bCs/>
                <w:szCs w:val="24"/>
              </w:rPr>
              <w:t>Other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9A086"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D0294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CC07D3"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CF58"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A32475" w14:textId="77777777" w:rsidR="00C96BD9" w:rsidRPr="00C96BD9" w:rsidRDefault="00C96BD9" w:rsidP="00C96BD9">
            <w:pPr>
              <w:rPr>
                <w:rFonts w:ascii="Times" w:hAnsi="Times"/>
                <w:szCs w:val="24"/>
              </w:rPr>
            </w:pPr>
          </w:p>
        </w:tc>
      </w:tr>
      <w:tr w:rsidR="00C96BD9" w:rsidRPr="00C96BD9" w14:paraId="0B4BEFB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rsidP="00C96BD9">
            <w:pPr>
              <w:jc w:val="right"/>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C96BD9">
            <w:pPr>
              <w:jc w:val="right"/>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C96BD9">
            <w:pPr>
              <w:jc w:val="right"/>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rsidP="00C96BD9">
            <w:pPr>
              <w:jc w:val="right"/>
              <w:rPr>
                <w:rFonts w:ascii="Times" w:hAnsi="Times" w:cs="Calibri"/>
                <w:b/>
                <w:bCs/>
                <w:szCs w:val="24"/>
              </w:rPr>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C96BD9">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C96BD9">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sidP="00D745B6">
      <w:r>
        <w:rPr>
          <w:szCs w:val="24"/>
        </w:rPr>
        <w:t>This project will serve to generate preliminary data for larger grants, like USDA Sustainable Agriculture Research and Education and Specialty Crop Block Grants.</w:t>
      </w:r>
    </w:p>
    <w:sectPr w:rsidR="00B73325"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23T13:41:00Z" w:initials="WDL">
    <w:p w14:paraId="25CE4A24" w14:textId="61F4AC43" w:rsidR="006507E4" w:rsidRDefault="006507E4" w:rsidP="006507E4">
      <w:pPr>
        <w:pStyle w:val="ListParagraph"/>
        <w:ind w:left="0"/>
        <w:contextualSpacing w:val="0"/>
        <w:rPr>
          <w:rFonts w:asciiTheme="minorHAnsi" w:hAnsiTheme="minorHAnsi" w:cstheme="minorBidi"/>
          <w:color w:val="FF0000"/>
        </w:rPr>
      </w:pPr>
      <w:r>
        <w:rPr>
          <w:rStyle w:val="CommentReference"/>
        </w:rPr>
        <w:annotationRef/>
      </w:r>
      <w:r w:rsidRPr="006507E4">
        <w:rPr>
          <w:rFonts w:asciiTheme="minorHAnsi" w:hAnsiTheme="minorHAnsi" w:cstheme="minorBidi"/>
          <w:color w:val="000000" w:themeColor="text1"/>
        </w:rPr>
        <w:t>Deirdre: Just spoke to Andy and Matthew about this. For now, we defined fields/corners/ areas that have not been farmed as virgin soils (this is consistent with the older literature). These areas don’t need to be big since we are just digging soil to bring to a common location where we will plant potatoes.  That said, if soils cannot be located on the west side, we can relax the definition and just be explicit. Is this OK?</w:t>
      </w:r>
      <w:r w:rsidR="00C9648A">
        <w:rPr>
          <w:rFonts w:asciiTheme="minorHAnsi" w:hAnsiTheme="minorHAnsi" w:cstheme="minorBidi"/>
          <w:color w:val="000000" w:themeColor="text1"/>
        </w:rPr>
        <w:t xml:space="preserve"> Feel free to offer other solutions.</w:t>
      </w:r>
    </w:p>
    <w:p w14:paraId="64A3BA2D" w14:textId="75FF1D05" w:rsidR="006507E4" w:rsidRDefault="006507E4">
      <w:pPr>
        <w:pStyle w:val="CommentText"/>
      </w:pPr>
    </w:p>
  </w:comment>
  <w:comment w:id="2" w:author="Griffin, Deirdre" w:date="2020-11-22T17:34:00Z" w:initials="GD">
    <w:p w14:paraId="0A1F12E6" w14:textId="1F816064" w:rsidR="00D85268" w:rsidRDefault="00D85268">
      <w:pPr>
        <w:pStyle w:val="CommentText"/>
      </w:pPr>
      <w:r>
        <w:rPr>
          <w:rStyle w:val="CommentReference"/>
        </w:rPr>
        <w:annotationRef/>
      </w:r>
      <w:r>
        <w:t>Will these be going into or in potatoes? Time of year of sample collection?</w:t>
      </w:r>
      <w:r w:rsidR="00972273">
        <w:t xml:space="preserve"> </w:t>
      </w:r>
    </w:p>
  </w:comment>
  <w:comment w:id="3" w:author="Wheeler, David Linnard" w:date="2020-11-23T13:41:00Z" w:initials="WDL">
    <w:p w14:paraId="4E4A76D7" w14:textId="63B8709C" w:rsidR="00C9648A" w:rsidRPr="00C9648A" w:rsidRDefault="006507E4" w:rsidP="00C9648A">
      <w:pPr>
        <w:pStyle w:val="ListParagraph"/>
        <w:ind w:left="0"/>
        <w:contextualSpacing w:val="0"/>
        <w:rPr>
          <w:rFonts w:asciiTheme="minorHAnsi" w:hAnsiTheme="minorHAnsi" w:cstheme="minorBidi"/>
          <w:color w:val="000000" w:themeColor="text1"/>
        </w:rPr>
      </w:pPr>
      <w:r>
        <w:rPr>
          <w:rStyle w:val="CommentReference"/>
        </w:rPr>
        <w:annotationRef/>
      </w:r>
      <w:r w:rsidR="00C9648A" w:rsidRPr="00C9648A">
        <w:rPr>
          <w:rFonts w:asciiTheme="minorHAnsi" w:hAnsiTheme="minorHAnsi" w:cstheme="minorBidi"/>
          <w:color w:val="000000" w:themeColor="text1"/>
        </w:rPr>
        <w:t>With our current proposal we don’t specify since, after we quantify the soil, micro and meso organisms in situ</w:t>
      </w:r>
      <w:r w:rsidR="00C9648A">
        <w:rPr>
          <w:rFonts w:asciiTheme="minorHAnsi" w:hAnsiTheme="minorHAnsi" w:cstheme="minorBidi"/>
          <w:color w:val="000000" w:themeColor="text1"/>
        </w:rPr>
        <w:t xml:space="preserve">, we planned on </w:t>
      </w:r>
      <w:r w:rsidR="004A70E6">
        <w:rPr>
          <w:rFonts w:asciiTheme="minorHAnsi" w:hAnsiTheme="minorHAnsi" w:cstheme="minorBidi"/>
          <w:color w:val="000000" w:themeColor="text1"/>
        </w:rPr>
        <w:t>bring the soils to a common location</w:t>
      </w:r>
      <w:r w:rsidR="00C9648A" w:rsidRPr="00C9648A">
        <w:rPr>
          <w:rFonts w:asciiTheme="minorHAnsi" w:hAnsiTheme="minorHAnsi" w:cstheme="minorBidi"/>
          <w:color w:val="000000" w:themeColor="text1"/>
        </w:rPr>
        <w:t>. Is this OK?</w:t>
      </w:r>
    </w:p>
    <w:p w14:paraId="19BDFEC8" w14:textId="77777777" w:rsidR="00C9648A" w:rsidRDefault="00C9648A" w:rsidP="00C9648A">
      <w:pPr>
        <w:pStyle w:val="ListParagraph"/>
        <w:ind w:left="0"/>
        <w:contextualSpacing w:val="0"/>
        <w:rPr>
          <w:rFonts w:asciiTheme="minorHAnsi" w:hAnsiTheme="minorHAnsi" w:cstheme="minorBidi"/>
          <w:color w:val="FF0000"/>
        </w:rPr>
      </w:pPr>
      <w:r w:rsidRPr="00C9648A">
        <w:rPr>
          <w:rFonts w:asciiTheme="minorHAnsi" w:hAnsiTheme="minorHAnsi" w:cstheme="minorBidi"/>
          <w:color w:val="000000" w:themeColor="text1"/>
        </w:rPr>
        <w:t xml:space="preserve">Is winter 2020/spring 2021 OK? </w:t>
      </w:r>
    </w:p>
    <w:p w14:paraId="3B7F37A6" w14:textId="28E40EFB" w:rsidR="006507E4" w:rsidRDefault="006507E4">
      <w:pPr>
        <w:pStyle w:val="CommentText"/>
      </w:pPr>
    </w:p>
  </w:comment>
  <w:comment w:id="4" w:author="Griffin, Deirdre" w:date="2020-11-22T17:39:00Z" w:initials="GD">
    <w:p w14:paraId="22C2C25B" w14:textId="24A6E00C" w:rsidR="00972273" w:rsidRDefault="00972273">
      <w:pPr>
        <w:pStyle w:val="CommentText"/>
      </w:pPr>
      <w:r>
        <w:rPr>
          <w:rStyle w:val="CommentReference"/>
        </w:rPr>
        <w:annotationRef/>
      </w:r>
      <w:r>
        <w:t>Do you think this will be clear to reviewers? I’m not familiar with this actually.</w:t>
      </w:r>
      <w:r w:rsidR="004A70E6">
        <w:t xml:space="preserve"> </w:t>
      </w:r>
    </w:p>
    <w:p w14:paraId="46621783" w14:textId="26B9035D" w:rsidR="004A70E6" w:rsidRDefault="004A70E6">
      <w:pPr>
        <w:pStyle w:val="CommentText"/>
      </w:pPr>
    </w:p>
  </w:comment>
  <w:comment w:id="5" w:author="Wheeler, David Linnard" w:date="2020-11-23T13:58:00Z" w:initials="WDL">
    <w:p w14:paraId="7A48E603" w14:textId="77777777" w:rsidR="004A70E6" w:rsidRDefault="004A70E6">
      <w:pPr>
        <w:pStyle w:val="CommentText"/>
      </w:pPr>
      <w:r>
        <w:rPr>
          <w:rStyle w:val="CommentReference"/>
        </w:rPr>
        <w:annotationRef/>
      </w:r>
      <w:r>
        <w:t>Does the explanation that follows make sense?</w:t>
      </w:r>
    </w:p>
    <w:p w14:paraId="30EDEEAC" w14:textId="7F4AF93F" w:rsidR="004A70E6" w:rsidRDefault="004A70E6">
      <w:pPr>
        <w:pStyle w:val="CommentText"/>
      </w:pPr>
    </w:p>
  </w:comment>
  <w:comment w:id="8" w:author="Frost, Kenneth" w:date="2020-11-20T13:07:00Z" w:initials="FK">
    <w:p w14:paraId="5C5358FC" w14:textId="3CEC7254" w:rsidR="008516A4" w:rsidRDefault="008516A4">
      <w:pPr>
        <w:pStyle w:val="CommentText"/>
      </w:pPr>
      <w:r>
        <w:rPr>
          <w:rStyle w:val="CommentReference"/>
        </w:rPr>
        <w:annotationRef/>
      </w:r>
      <w:r>
        <w:t>Is this imposing a meaningful treatment structure? The structure from sampling is already paired</w:t>
      </w:r>
      <w:r w:rsidR="00B06199">
        <w:t xml:space="preserve"> within each location</w:t>
      </w:r>
      <w:r>
        <w:t xml:space="preserve">, so </w:t>
      </w:r>
      <w:r w:rsidR="00B06199">
        <w:t>there are</w:t>
      </w:r>
      <w:r>
        <w:t xml:space="preserve"> 2 factors (</w:t>
      </w:r>
      <w:proofErr w:type="spellStart"/>
      <w:r>
        <w:t>vigin</w:t>
      </w:r>
      <w:proofErr w:type="spellEnd"/>
      <w:r>
        <w:t xml:space="preserve"> and non-virgin) nested within each sample </w:t>
      </w:r>
      <w:r w:rsidR="00B06199">
        <w:t>location. Location can be used as a blocking factor (i.e. random), but the state as a factor does not mean too much IMO.</w:t>
      </w:r>
    </w:p>
  </w:comment>
  <w:comment w:id="9" w:author="Wheeler, David Linnard" w:date="2020-11-23T14:00:00Z" w:initials="WDL">
    <w:p w14:paraId="6878D06E" w14:textId="77777777" w:rsidR="00584632" w:rsidRDefault="004A70E6">
      <w:pPr>
        <w:pStyle w:val="CommentText"/>
      </w:pPr>
      <w:r>
        <w:rPr>
          <w:rStyle w:val="CommentReference"/>
        </w:rPr>
        <w:annotationRef/>
      </w:r>
      <w:r>
        <w:t>We might have different definitions of factors. I considered soil one factor with two levels (virgin and non-virgin) nested within location.</w:t>
      </w:r>
      <w:r w:rsidR="00584632">
        <w:t xml:space="preserve"> I agree that we should not block on states. Sorry if that was unclear. I just meant that we </w:t>
      </w:r>
      <w:proofErr w:type="gramStart"/>
      <w:r w:rsidR="00584632">
        <w:t>will</w:t>
      </w:r>
      <w:proofErr w:type="gramEnd"/>
      <w:r w:rsidR="00584632">
        <w:t xml:space="preserve"> sample 5 virgin and 5 non-virgin soils within each state. </w:t>
      </w:r>
    </w:p>
    <w:p w14:paraId="19B23BD6" w14:textId="650AC01C" w:rsidR="004A70E6" w:rsidRDefault="00584632">
      <w:pPr>
        <w:pStyle w:val="CommentText"/>
      </w:pPr>
      <w:r>
        <w:t xml:space="preserve">Please feel free to update it if it is still ambiguous. </w:t>
      </w:r>
    </w:p>
  </w:comment>
  <w:comment w:id="10" w:author="Frost, Kenneth" w:date="2020-11-20T13:14:00Z" w:initials="FK">
    <w:p w14:paraId="503DDB18" w14:textId="499BDAEE" w:rsidR="00B06199" w:rsidRDefault="00B06199">
      <w:pPr>
        <w:pStyle w:val="CommentText"/>
      </w:pPr>
      <w:r>
        <w:rPr>
          <w:rStyle w:val="CommentReference"/>
        </w:rPr>
        <w:annotationRef/>
      </w:r>
      <w:r>
        <w:t>Is this randomization considering the paired nature of the soils?</w:t>
      </w:r>
    </w:p>
  </w:comment>
  <w:comment w:id="11" w:author="Griffin, Deirdre" w:date="2020-11-22T17:42:00Z" w:initials="GD">
    <w:p w14:paraId="76EA62A4" w14:textId="7EAD44B8" w:rsidR="00972273" w:rsidRDefault="00972273">
      <w:pPr>
        <w:pStyle w:val="CommentText"/>
      </w:pPr>
      <w:r>
        <w:rPr>
          <w:rStyle w:val="CommentReference"/>
        </w:rPr>
        <w:annotationRef/>
      </w:r>
      <w:r>
        <w:t>A diagram may be useful to envision how things will be replicated/randomized.</w:t>
      </w:r>
    </w:p>
  </w:comment>
  <w:comment w:id="12" w:author="Wheeler, David Linnard" w:date="2020-11-23T14:12:00Z" w:initials="WDL">
    <w:p w14:paraId="301D145B" w14:textId="1FBD8FA1" w:rsidR="00FF6681" w:rsidRDefault="00FF6681">
      <w:pPr>
        <w:pStyle w:val="CommentText"/>
      </w:pPr>
      <w:r>
        <w:rPr>
          <w:rStyle w:val="CommentReference"/>
        </w:rPr>
        <w:annotationRef/>
      </w:r>
      <w:r>
        <w:t>Ken, I did not specify but feel free to do so. Are recommending that we specify that we will block on the pairs/locations?</w:t>
      </w:r>
      <w:r>
        <w:br/>
        <w:t xml:space="preserve">Deirdre, I tried </w:t>
      </w:r>
      <w:r w:rsidR="00947B71">
        <w:t>below</w:t>
      </w:r>
      <w:r w:rsidR="00D86EB6">
        <w:t xml:space="preserve"> in the space available</w:t>
      </w:r>
      <w:r>
        <w:t>. Does that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A3BA2D" w15:done="0"/>
  <w15:commentEx w15:paraId="0A1F12E6" w15:done="0"/>
  <w15:commentEx w15:paraId="3B7F37A6" w15:paraIdParent="0A1F12E6" w15:done="0"/>
  <w15:commentEx w15:paraId="46621783" w15:done="0"/>
  <w15:commentEx w15:paraId="30EDEEAC" w15:paraIdParent="46621783" w15:done="0"/>
  <w15:commentEx w15:paraId="5C5358FC" w15:done="0"/>
  <w15:commentEx w15:paraId="19B23BD6" w15:paraIdParent="5C5358FC" w15:done="0"/>
  <w15:commentEx w15:paraId="503DDB18" w15:done="0"/>
  <w15:commentEx w15:paraId="76EA62A4" w15:paraIdParent="503DDB18" w15:done="0"/>
  <w15:commentEx w15:paraId="301D145B" w15:paraIdParent="503DD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3A81" w16cex:dateUtc="2020-11-23T18:41:00Z"/>
  <w16cex:commentExtensible w16cex:durableId="23651FB4" w16cex:dateUtc="2020-11-23T01:34:00Z"/>
  <w16cex:commentExtensible w16cex:durableId="23663A73" w16cex:dateUtc="2020-11-23T18:41:00Z"/>
  <w16cex:commentExtensible w16cex:durableId="236520EC" w16cex:dateUtc="2020-11-23T01:39:00Z"/>
  <w16cex:commentExtensible w16cex:durableId="23663E69" w16cex:dateUtc="2020-11-23T18:58:00Z"/>
  <w16cex:commentExtensible w16cex:durableId="23663EE9" w16cex:dateUtc="2020-11-23T19:00:00Z"/>
  <w16cex:commentExtensible w16cex:durableId="236521A2" w16cex:dateUtc="2020-11-23T01:42:00Z"/>
  <w16cex:commentExtensible w16cex:durableId="236641C2" w16cex:dateUtc="2020-11-23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A3BA2D" w16cid:durableId="23663A81"/>
  <w16cid:commentId w16cid:paraId="0A1F12E6" w16cid:durableId="23651FB4"/>
  <w16cid:commentId w16cid:paraId="3B7F37A6" w16cid:durableId="23663A73"/>
  <w16cid:commentId w16cid:paraId="46621783" w16cid:durableId="236520EC"/>
  <w16cid:commentId w16cid:paraId="30EDEEAC" w16cid:durableId="23663E69"/>
  <w16cid:commentId w16cid:paraId="5C5358FC" w16cid:durableId="2365195F"/>
  <w16cid:commentId w16cid:paraId="19B23BD6" w16cid:durableId="23663EE9"/>
  <w16cid:commentId w16cid:paraId="503DDB18" w16cid:durableId="23651960"/>
  <w16cid:commentId w16cid:paraId="76EA62A4" w16cid:durableId="236521A2"/>
  <w16cid:commentId w16cid:paraId="301D145B" w16cid:durableId="236641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1C826" w14:textId="77777777" w:rsidR="00A67CC3" w:rsidRDefault="00A67CC3">
      <w:r>
        <w:separator/>
      </w:r>
    </w:p>
  </w:endnote>
  <w:endnote w:type="continuationSeparator" w:id="0">
    <w:p w14:paraId="1E4C4252" w14:textId="77777777" w:rsidR="00A67CC3" w:rsidRDefault="00A6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A67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A67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10AE9" w14:textId="77777777" w:rsidR="00A67CC3" w:rsidRDefault="00A67CC3">
      <w:r>
        <w:separator/>
      </w:r>
    </w:p>
  </w:footnote>
  <w:footnote w:type="continuationSeparator" w:id="0">
    <w:p w14:paraId="46B7D2DE" w14:textId="77777777" w:rsidR="00A67CC3" w:rsidRDefault="00A67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A67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A67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rson w15:author="Griffin, Deirdre">
    <w15:presenceInfo w15:providerId="AD" w15:userId="S::d.griffin@wsu.edu::db6f4815-7fe7-4e3d-80ef-bfdd07a19102"/>
  </w15:person>
  <w15:person w15:author="Frost, Kenneth">
    <w15:presenceInfo w15:providerId="AD" w15:userId="S-1-5-21-828376571-1197701538-1844936127-310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26ACF"/>
    <w:rsid w:val="00035B36"/>
    <w:rsid w:val="0003730B"/>
    <w:rsid w:val="000410F1"/>
    <w:rsid w:val="00044503"/>
    <w:rsid w:val="00083B68"/>
    <w:rsid w:val="000C3EB1"/>
    <w:rsid w:val="00114BFE"/>
    <w:rsid w:val="001175D6"/>
    <w:rsid w:val="00153954"/>
    <w:rsid w:val="001664DF"/>
    <w:rsid w:val="00183159"/>
    <w:rsid w:val="001859C8"/>
    <w:rsid w:val="001F6AC1"/>
    <w:rsid w:val="00215078"/>
    <w:rsid w:val="00237751"/>
    <w:rsid w:val="00244313"/>
    <w:rsid w:val="00267020"/>
    <w:rsid w:val="00280BBB"/>
    <w:rsid w:val="002F75CE"/>
    <w:rsid w:val="00311F7D"/>
    <w:rsid w:val="003201D0"/>
    <w:rsid w:val="00352EBE"/>
    <w:rsid w:val="00382066"/>
    <w:rsid w:val="00392FBB"/>
    <w:rsid w:val="003F146E"/>
    <w:rsid w:val="003F3BE4"/>
    <w:rsid w:val="00413CBF"/>
    <w:rsid w:val="004855AD"/>
    <w:rsid w:val="004A70E6"/>
    <w:rsid w:val="004B008D"/>
    <w:rsid w:val="004B5AAC"/>
    <w:rsid w:val="004E7FF2"/>
    <w:rsid w:val="0051064F"/>
    <w:rsid w:val="00524B5E"/>
    <w:rsid w:val="00534253"/>
    <w:rsid w:val="005752E4"/>
    <w:rsid w:val="0058124F"/>
    <w:rsid w:val="00584632"/>
    <w:rsid w:val="005F5B09"/>
    <w:rsid w:val="00631F22"/>
    <w:rsid w:val="006337A1"/>
    <w:rsid w:val="0063678E"/>
    <w:rsid w:val="0064459F"/>
    <w:rsid w:val="00645A42"/>
    <w:rsid w:val="006507E4"/>
    <w:rsid w:val="006A2DAE"/>
    <w:rsid w:val="006C7B18"/>
    <w:rsid w:val="0073332A"/>
    <w:rsid w:val="00733619"/>
    <w:rsid w:val="007412E4"/>
    <w:rsid w:val="0074762B"/>
    <w:rsid w:val="00756632"/>
    <w:rsid w:val="007819CD"/>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D0CEB"/>
    <w:rsid w:val="00A05DC7"/>
    <w:rsid w:val="00A25EE2"/>
    <w:rsid w:val="00A672D4"/>
    <w:rsid w:val="00A67CC3"/>
    <w:rsid w:val="00A9284A"/>
    <w:rsid w:val="00AE027E"/>
    <w:rsid w:val="00AE0780"/>
    <w:rsid w:val="00AF4755"/>
    <w:rsid w:val="00B06199"/>
    <w:rsid w:val="00B52189"/>
    <w:rsid w:val="00B57412"/>
    <w:rsid w:val="00B6034B"/>
    <w:rsid w:val="00B72A75"/>
    <w:rsid w:val="00B73325"/>
    <w:rsid w:val="00B8360D"/>
    <w:rsid w:val="00BA629E"/>
    <w:rsid w:val="00BC2B31"/>
    <w:rsid w:val="00C0483A"/>
    <w:rsid w:val="00C1321A"/>
    <w:rsid w:val="00C15584"/>
    <w:rsid w:val="00C172A5"/>
    <w:rsid w:val="00C7302D"/>
    <w:rsid w:val="00C9648A"/>
    <w:rsid w:val="00C96BD9"/>
    <w:rsid w:val="00CB7372"/>
    <w:rsid w:val="00CC3829"/>
    <w:rsid w:val="00CC4DB6"/>
    <w:rsid w:val="00CC541B"/>
    <w:rsid w:val="00CE6989"/>
    <w:rsid w:val="00D11BB3"/>
    <w:rsid w:val="00D16936"/>
    <w:rsid w:val="00D5797D"/>
    <w:rsid w:val="00D745B6"/>
    <w:rsid w:val="00D85268"/>
    <w:rsid w:val="00D86EB6"/>
    <w:rsid w:val="00D95E26"/>
    <w:rsid w:val="00DA0EBD"/>
    <w:rsid w:val="00DB3007"/>
    <w:rsid w:val="00DE5E7E"/>
    <w:rsid w:val="00E26273"/>
    <w:rsid w:val="00E269C1"/>
    <w:rsid w:val="00E416E8"/>
    <w:rsid w:val="00E62DA9"/>
    <w:rsid w:val="00E87D9C"/>
    <w:rsid w:val="00EA5CA7"/>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microsoft.com/office/2011/relationships/commentsExtended" Target="commentsExtended.xml"/><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david.wheeler@wsu.edu" TargetMode="External"/><Relationship Id="rId12" Type="http://schemas.openxmlformats.org/officeDocument/2006/relationships/comments" Target="comments.xml"/><Relationship Id="rId17" Type="http://schemas.openxmlformats.org/officeDocument/2006/relationships/hyperlink" Target="https://doi.org/10.1111/ejss.12901"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gcupadhaya@ws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hyperlink" Target="mailto:kenneth.frost@oregonstate.edu"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mailto:cynthia.gleason@wsu.edu" TargetMode="Externa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5</cp:revision>
  <dcterms:created xsi:type="dcterms:W3CDTF">2020-11-23T20:16:00Z</dcterms:created>
  <dcterms:modified xsi:type="dcterms:W3CDTF">2020-11-24T10:42:00Z</dcterms:modified>
</cp:coreProperties>
</file>