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5C8BE393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A60666">
        <w:rPr>
          <w:bCs/>
        </w:rPr>
        <w:t>Misadventures with outliers</w:t>
      </w:r>
    </w:p>
    <w:p w14:paraId="3508AC67" w14:textId="179EF499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Pr="00CB2248">
        <w:rPr>
          <w:vertAlign w:val="superscript"/>
        </w:rPr>
        <w:t>1,2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374C8F87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>outliers, anomalies, value-laden judgements, ethics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515588D0" w:rsidR="00F35AE0" w:rsidRDefault="00F95CCB" w:rsidP="008C484C">
      <w:r>
        <w:t>Data scientists</w:t>
      </w:r>
      <w:r w:rsidR="00E676BF">
        <w:t xml:space="preserve"> </w:t>
      </w:r>
      <w:r w:rsidR="001C0DB4">
        <w:t>have long been</w:t>
      </w:r>
      <w:r w:rsidR="00E676BF">
        <w:t xml:space="preserve">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</w:t>
      </w:r>
      <w:r w:rsidR="001C0DB4">
        <w:t xml:space="preserve">Where do they come from? </w:t>
      </w:r>
      <w:r w:rsidR="00A909FE">
        <w:t xml:space="preserve">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</w:t>
      </w:r>
    </w:p>
    <w:p w14:paraId="6B088A33" w14:textId="2D855166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E513B7">
        <w:t>Bernoulli</w:t>
      </w:r>
      <w:r w:rsidRPr="00F35AE0">
        <w:rPr>
          <w:b/>
          <w:bCs/>
        </w:rPr>
        <w:t xml:space="preserve"> </w:t>
      </w:r>
      <w:r>
        <w:t xml:space="preserve">expressed his frustration in </w:t>
      </w:r>
      <w:r w:rsidRPr="00E513B7"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 w:rsidR="00E513B7">
        <w:t xml:space="preserve"> (Bernoulli, 1777)</w:t>
      </w:r>
      <w:r>
        <w:t>.</w:t>
      </w:r>
    </w:p>
    <w:p w14:paraId="68FC8248" w14:textId="3D01D6D5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1C0DB4">
        <w:t xml:space="preserve"> </w:t>
      </w:r>
      <w:r w:rsidR="000D2BDB" w:rsidRPr="004161E5">
        <w:t xml:space="preserve">require value-laden </w:t>
      </w:r>
      <w:r w:rsidR="00BD5AEB">
        <w:t>judgements</w:t>
      </w:r>
      <w:r w:rsidR="000D2BDB" w:rsidRPr="004161E5">
        <w:t xml:space="preserve">. </w:t>
      </w:r>
    </w:p>
    <w:p w14:paraId="25AF0A92" w14:textId="191DD34C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 xml:space="preserve">of marital litigation, space shuttle disasters, TSA searches, </w:t>
      </w:r>
      <w:r w:rsidR="005C38AB">
        <w:t>o</w:t>
      </w:r>
      <w:r w:rsidR="009A2F93">
        <w:t xml:space="preserve">zone </w:t>
      </w:r>
      <w:r w:rsidR="005C38AB">
        <w:t xml:space="preserve">holes, and US Census data </w:t>
      </w:r>
      <w:r w:rsidR="000F0083">
        <w:t xml:space="preserve">are discussed. </w:t>
      </w:r>
      <w:r w:rsidR="004506AE">
        <w:t xml:space="preserve">The common </w:t>
      </w:r>
      <w:r w:rsidR="001C0DB4">
        <w:t>denominator for</w:t>
      </w:r>
      <w:r w:rsidR="004506AE">
        <w:t xml:space="preserve"> all of these cases, I argue, is </w:t>
      </w:r>
      <w:r w:rsidR="008A1A9D">
        <w:t>that they hinge on value-laden decisions</w:t>
      </w:r>
      <w:r w:rsidR="001C0DB4">
        <w:t>. At face value, these decisions can seem objective and</w:t>
      </w:r>
      <w:r w:rsidR="00513104">
        <w:t xml:space="preserve"> even</w:t>
      </w:r>
      <w:r w:rsidR="001C0DB4">
        <w:t xml:space="preserve"> trivial. Consequences of these decisions, however, </w:t>
      </w:r>
      <w:r w:rsidR="00754260">
        <w:t xml:space="preserve">are </w:t>
      </w:r>
      <w:r w:rsidR="001C0DB4">
        <w:t>non-trivial</w:t>
      </w:r>
      <w:r w:rsidR="0029058E">
        <w:t xml:space="preserve">, </w:t>
      </w:r>
      <w:r w:rsidR="001C0DB4">
        <w:t>can trespass ethical norms</w:t>
      </w:r>
      <w:r w:rsidR="0029058E">
        <w:t>, and stifle scientific advancement</w:t>
      </w:r>
      <w:r w:rsidR="001C0DB4">
        <w:t>.</w:t>
      </w:r>
      <w:r w:rsidR="008A1A9D">
        <w:t xml:space="preserve"> </w:t>
      </w:r>
    </w:p>
    <w:p w14:paraId="36B05E28" w14:textId="45E0DED1" w:rsidR="005A0D2C" w:rsidRDefault="00754260" w:rsidP="008C484C">
      <w:r>
        <w:t xml:space="preserve">So, what </w:t>
      </w:r>
      <w:r>
        <w:rPr>
          <w:i/>
          <w:iCs/>
        </w:rPr>
        <w:t>should</w:t>
      </w:r>
      <w:r w:rsidR="0029058E">
        <w:rPr>
          <w:i/>
          <w:iCs/>
        </w:rPr>
        <w:t xml:space="preserve"> </w:t>
      </w:r>
      <w:r w:rsidR="0029058E">
        <w:t>data scientist</w:t>
      </w:r>
      <w:r w:rsidR="00DA7EC0">
        <w:t>s</w:t>
      </w:r>
      <w:r w:rsidR="0029058E">
        <w:t xml:space="preserve"> do to avoid these quandaries? </w:t>
      </w:r>
      <w:r w:rsidR="00925479">
        <w:t>Several reflexive responses to this question are presented</w:t>
      </w:r>
      <w:r w:rsidR="00F90EDD">
        <w:t xml:space="preserve"> along with respective objections</w:t>
      </w:r>
      <w:r w:rsidR="00925479">
        <w:t xml:space="preserve">. </w:t>
      </w:r>
      <w:r w:rsidR="00102BCF">
        <w:t xml:space="preserve">To </w:t>
      </w:r>
      <w:r w:rsidR="00F90EDD">
        <w:t xml:space="preserve">help </w:t>
      </w:r>
      <w:r w:rsidR="00102BCF">
        <w:lastRenderedPageBreak/>
        <w:t>navigate this landscape</w:t>
      </w:r>
      <w:r w:rsidR="00925479">
        <w:t xml:space="preserve">, I </w:t>
      </w:r>
      <w:r w:rsidR="00A932AD">
        <w:t xml:space="preserve">recast recommendations from philosophers and statisticians across time. </w:t>
      </w:r>
    </w:p>
    <w:p w14:paraId="002859BB" w14:textId="292F89ED" w:rsidR="00760E58" w:rsidRPr="004161E5" w:rsidRDefault="00A932AD" w:rsidP="00624084">
      <w:r>
        <w:t xml:space="preserve">The confluence of these insights </w:t>
      </w:r>
      <w:proofErr w:type="gramStart"/>
      <w:r>
        <w:t>converge</w:t>
      </w:r>
      <w:proofErr w:type="gramEnd"/>
      <w:r>
        <w:t xml:space="preserve"> on several pragmatic solutions for data scientists. </w:t>
      </w:r>
      <w:r w:rsidR="005A0D2C">
        <w:t xml:space="preserve">For example, we can start by increasing awareness about the consequences of the ways he </w:t>
      </w:r>
      <w:proofErr w:type="gramStart"/>
      <w:r w:rsidR="005A0D2C">
        <w:t>define</w:t>
      </w:r>
      <w:proofErr w:type="gramEnd"/>
      <w:r w:rsidR="005A0D2C">
        <w:t xml:space="preserve">, detect, and deal with outliers. </w:t>
      </w:r>
      <w:r w:rsidR="00503544">
        <w:t xml:space="preserve">Review of historical cases and negative visualization, </w:t>
      </w:r>
      <w:r w:rsidR="00503544">
        <w:t>a practice popularized by Seneca and other stoic philosophers</w:t>
      </w:r>
      <w:r w:rsidR="00503544">
        <w:t xml:space="preserve">, can help sensitize data scientists to the minefields we traverse when analyzing data. From this discussion, data scientists might feel trepidation when embarking on an analysis. </w:t>
      </w:r>
      <w:r w:rsidR="0048158A">
        <w:t>To</w:t>
      </w:r>
      <w:r w:rsidR="00503544">
        <w:t xml:space="preserve"> assuage this fear,</w:t>
      </w:r>
      <w:r w:rsidR="0048158A">
        <w:t xml:space="preserve"> animate curiosity</w:t>
      </w:r>
      <w:r w:rsidR="00503544">
        <w:t>,</w:t>
      </w:r>
      <w:r w:rsidR="0048158A">
        <w:t xml:space="preserve"> and </w:t>
      </w:r>
      <w:r w:rsidR="00503544">
        <w:t xml:space="preserve">instill </w:t>
      </w:r>
      <w:r w:rsidR="0048158A">
        <w:t>a sense of duty, we can also r</w:t>
      </w:r>
      <w:r w:rsidR="005A0D2C">
        <w:t>efram</w:t>
      </w:r>
      <w:r w:rsidR="0048158A">
        <w:t>e</w:t>
      </w:r>
      <w:r w:rsidR="005A0D2C">
        <w:t xml:space="preserve"> the</w:t>
      </w:r>
      <w:r w:rsidR="00503544">
        <w:t>se</w:t>
      </w:r>
      <w:r w:rsidR="005A0D2C">
        <w:t xml:space="preserve"> </w:t>
      </w:r>
      <w:r w:rsidR="0048158A">
        <w:t>obligations incumbent upon data scientists as opportunities to learn something interesting</w:t>
      </w:r>
      <w:r w:rsidR="00503544">
        <w:t xml:space="preserve"> about the data in question</w:t>
      </w:r>
      <w:r w:rsidR="0048158A">
        <w:t xml:space="preserve">. </w:t>
      </w:r>
      <w:r w:rsidR="00624084">
        <w:t>W</w:t>
      </w:r>
      <w:r w:rsidR="00503544">
        <w:t xml:space="preserve">e can invoke the Golden rule: </w:t>
      </w:r>
      <w:r w:rsidR="00624084">
        <w:t xml:space="preserve">we </w:t>
      </w:r>
      <w:r w:rsidR="00624084">
        <w:rPr>
          <w:i/>
          <w:iCs/>
        </w:rPr>
        <w:t xml:space="preserve">should </w:t>
      </w:r>
      <w:r w:rsidR="00624084">
        <w:t xml:space="preserve">treat outliers as we would expect to be treated if we were outliers in the data. Lastly, </w:t>
      </w:r>
      <w:r w:rsidR="003740E4">
        <w:t>the logic used to arrive at decisions about outliers should, like other practices in data science, be transparent to the stakeholders.</w:t>
      </w:r>
    </w:p>
    <w:p w14:paraId="2707166E" w14:textId="77777777" w:rsidR="00760E58" w:rsidRPr="004161E5" w:rsidRDefault="00760E58" w:rsidP="008644E4"/>
    <w:p w14:paraId="55F435FB" w14:textId="5E728642" w:rsidR="00760E58" w:rsidRPr="003740E4" w:rsidRDefault="000D2BDB" w:rsidP="003740E4">
      <w:pPr>
        <w:pStyle w:val="ListParagraph"/>
        <w:numPr>
          <w:ilvl w:val="0"/>
          <w:numId w:val="4"/>
        </w:numPr>
        <w:rPr>
          <w:b/>
        </w:rPr>
      </w:pPr>
      <w:r w:rsidRPr="003740E4">
        <w:rPr>
          <w:b/>
        </w:rPr>
        <w:t>References</w:t>
      </w:r>
    </w:p>
    <w:p w14:paraId="75C52CD1" w14:textId="11DBC038" w:rsidR="00A60666" w:rsidRPr="00E513B7" w:rsidRDefault="000D2BDB" w:rsidP="00E513B7">
      <w:pPr>
        <w:pStyle w:val="ListParagraph"/>
        <w:numPr>
          <w:ilvl w:val="0"/>
          <w:numId w:val="5"/>
        </w:numPr>
        <w:rPr>
          <w:rFonts w:eastAsia="Times New Roman"/>
          <w:color w:val="auto"/>
          <w:lang w:val="en-US"/>
        </w:rPr>
      </w:pPr>
      <w:r w:rsidRPr="00A60666">
        <w:t>Bernoulli</w:t>
      </w:r>
      <w:r w:rsidR="00A60666" w:rsidRPr="00A60666">
        <w:t>,</w:t>
      </w:r>
      <w:r w:rsidRPr="00A60666">
        <w:t xml:space="preserve"> D.</w:t>
      </w:r>
      <w:r w:rsidR="00A60666" w:rsidRPr="00A60666">
        <w:t>,</w:t>
      </w:r>
      <w:r w:rsidRPr="00A60666">
        <w:t xml:space="preserve"> </w:t>
      </w:r>
      <w:r w:rsidR="00A60666" w:rsidRPr="00A60666">
        <w:t>(</w:t>
      </w:r>
      <w:r w:rsidRPr="00A60666">
        <w:t>1777</w:t>
      </w:r>
      <w:r w:rsidR="00A60666" w:rsidRPr="00A60666">
        <w:t>)</w:t>
      </w:r>
      <w:r w:rsidRPr="00A60666">
        <w:t xml:space="preserve">. The most probably choice between several discrepant observations and the formation therefore of the most likely induction. In C.G. Allen (1961), </w:t>
      </w:r>
      <w:proofErr w:type="spellStart"/>
      <w:r w:rsidRPr="00E513B7">
        <w:rPr>
          <w:i/>
        </w:rPr>
        <w:t>Biometrika</w:t>
      </w:r>
      <w:proofErr w:type="spellEnd"/>
      <w:r w:rsidRPr="00A60666">
        <w:t>, 48</w:t>
      </w:r>
      <w:r w:rsidR="00E513B7">
        <w:t>(1-2)</w:t>
      </w:r>
      <w:r w:rsidR="00A60666" w:rsidRPr="00A60666">
        <w:t xml:space="preserve">, </w:t>
      </w:r>
      <w:r w:rsidRPr="00A60666">
        <w:t>3-1</w:t>
      </w:r>
      <w:r w:rsidR="00E513B7">
        <w:t>8</w:t>
      </w:r>
      <w:r w:rsidRPr="00A60666">
        <w:t>.</w:t>
      </w:r>
      <w:r w:rsidR="00A60666" w:rsidRPr="00A60666">
        <w:t xml:space="preserve"> </w:t>
      </w:r>
      <w:hyperlink r:id="rId7" w:history="1">
        <w:r w:rsidR="00A60666" w:rsidRPr="00E513B7">
          <w:rPr>
            <w:rFonts w:eastAsia="Times New Roman"/>
            <w:color w:val="006FB7"/>
            <w:u w:val="single"/>
            <w:bdr w:val="none" w:sz="0" w:space="0" w:color="auto" w:frame="1"/>
            <w:shd w:val="clear" w:color="auto" w:fill="FFFFFF"/>
            <w:lang w:val="en-US"/>
          </w:rPr>
          <w:t>https://doi.org/10.1093/biomet/48.1-2.3</w:t>
        </w:r>
      </w:hyperlink>
    </w:p>
    <w:p w14:paraId="0401DE34" w14:textId="28553195" w:rsidR="00760E58" w:rsidRPr="004161E5" w:rsidRDefault="00760E58" w:rsidP="00E513B7"/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0606E" w14:textId="77777777" w:rsidR="00FF62F5" w:rsidRDefault="00FF62F5">
      <w:pPr>
        <w:spacing w:line="240" w:lineRule="auto"/>
      </w:pPr>
      <w:r>
        <w:separator/>
      </w:r>
    </w:p>
  </w:endnote>
  <w:endnote w:type="continuationSeparator" w:id="0">
    <w:p w14:paraId="3BB46DBF" w14:textId="77777777" w:rsidR="00FF62F5" w:rsidRDefault="00FF6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56C77" w14:textId="77777777" w:rsidR="00FF62F5" w:rsidRDefault="00FF62F5">
      <w:pPr>
        <w:spacing w:line="240" w:lineRule="auto"/>
      </w:pPr>
      <w:r>
        <w:separator/>
      </w:r>
    </w:p>
  </w:footnote>
  <w:footnote w:type="continuationSeparator" w:id="0">
    <w:p w14:paraId="5D0AF7D8" w14:textId="77777777" w:rsidR="00FF62F5" w:rsidRDefault="00FF62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6917D9"/>
    <w:multiLevelType w:val="hybridMultilevel"/>
    <w:tmpl w:val="FCA4B436"/>
    <w:lvl w:ilvl="0" w:tplc="168079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B1DBD"/>
    <w:rsid w:val="000D2BDB"/>
    <w:rsid w:val="000F0083"/>
    <w:rsid w:val="00102BCF"/>
    <w:rsid w:val="00132D6C"/>
    <w:rsid w:val="0014006A"/>
    <w:rsid w:val="0019437A"/>
    <w:rsid w:val="001C09E8"/>
    <w:rsid w:val="001C0DB4"/>
    <w:rsid w:val="0029058E"/>
    <w:rsid w:val="002D7E53"/>
    <w:rsid w:val="003740E4"/>
    <w:rsid w:val="003F679E"/>
    <w:rsid w:val="00410E05"/>
    <w:rsid w:val="004161E5"/>
    <w:rsid w:val="004506AE"/>
    <w:rsid w:val="0048158A"/>
    <w:rsid w:val="004E2E80"/>
    <w:rsid w:val="00503544"/>
    <w:rsid w:val="0051085A"/>
    <w:rsid w:val="00513104"/>
    <w:rsid w:val="005159F2"/>
    <w:rsid w:val="005A0D2C"/>
    <w:rsid w:val="005C38AB"/>
    <w:rsid w:val="005C5B96"/>
    <w:rsid w:val="00624084"/>
    <w:rsid w:val="0071664E"/>
    <w:rsid w:val="00754260"/>
    <w:rsid w:val="00760E58"/>
    <w:rsid w:val="007950A2"/>
    <w:rsid w:val="007D5639"/>
    <w:rsid w:val="00804C0D"/>
    <w:rsid w:val="008205D7"/>
    <w:rsid w:val="008644E4"/>
    <w:rsid w:val="008A1A9D"/>
    <w:rsid w:val="008C484C"/>
    <w:rsid w:val="00925479"/>
    <w:rsid w:val="00930B69"/>
    <w:rsid w:val="00934FB1"/>
    <w:rsid w:val="00981856"/>
    <w:rsid w:val="009A2F93"/>
    <w:rsid w:val="00A028F5"/>
    <w:rsid w:val="00A60666"/>
    <w:rsid w:val="00A630DB"/>
    <w:rsid w:val="00A857F0"/>
    <w:rsid w:val="00A909FE"/>
    <w:rsid w:val="00A932AD"/>
    <w:rsid w:val="00B017B4"/>
    <w:rsid w:val="00B74665"/>
    <w:rsid w:val="00BD5AEB"/>
    <w:rsid w:val="00C02C64"/>
    <w:rsid w:val="00CB2248"/>
    <w:rsid w:val="00CF63FD"/>
    <w:rsid w:val="00D40AAC"/>
    <w:rsid w:val="00DA7EC0"/>
    <w:rsid w:val="00E513B7"/>
    <w:rsid w:val="00E676BF"/>
    <w:rsid w:val="00F2728E"/>
    <w:rsid w:val="00F35AE0"/>
    <w:rsid w:val="00F90EDD"/>
    <w:rsid w:val="00F95CCB"/>
    <w:rsid w:val="00FF53D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met/48.1-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20</cp:revision>
  <cp:lastPrinted>2020-12-16T23:17:00Z</cp:lastPrinted>
  <dcterms:created xsi:type="dcterms:W3CDTF">2020-12-16T23:17:00Z</dcterms:created>
  <dcterms:modified xsi:type="dcterms:W3CDTF">2021-05-10T17:45:00Z</dcterms:modified>
</cp:coreProperties>
</file>