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8CE7AF" w14:textId="4B239329" w:rsidR="00F55D3C" w:rsidRDefault="00F55D3C" w:rsidP="00F55D3C">
      <w:pPr>
        <w:pStyle w:val="Default"/>
        <w:rPr>
          <w:b/>
          <w:bCs/>
        </w:rPr>
      </w:pPr>
      <w:r w:rsidRPr="00ED4C5C">
        <w:rPr>
          <w:b/>
          <w:bCs/>
        </w:rPr>
        <w:t>Title:</w:t>
      </w:r>
      <w:r w:rsidR="00432CBA">
        <w:rPr>
          <w:b/>
          <w:bCs/>
        </w:rPr>
        <w:t xml:space="preserve"> Quantifying Crop Safety and Efficacy when Tank Mixing Insecticides and Fungicides. </w:t>
      </w:r>
      <w:r w:rsidR="002443C2">
        <w:rPr>
          <w:b/>
          <w:bCs/>
        </w:rPr>
        <w:t xml:space="preserve"> </w:t>
      </w:r>
      <w:r w:rsidRPr="00ED4C5C">
        <w:rPr>
          <w:b/>
          <w:bCs/>
        </w:rPr>
        <w:t xml:space="preserve"> </w:t>
      </w:r>
    </w:p>
    <w:p w14:paraId="2EA11B56" w14:textId="77777777" w:rsidR="00F55D3C" w:rsidRDefault="00F55D3C" w:rsidP="00F55D3C">
      <w:pPr>
        <w:pStyle w:val="Default"/>
        <w:rPr>
          <w:b/>
          <w:bCs/>
        </w:rPr>
      </w:pPr>
    </w:p>
    <w:p w14:paraId="75A28855" w14:textId="562A147A" w:rsidR="00F55D3C" w:rsidRPr="00ED4C5C" w:rsidRDefault="00F55D3C" w:rsidP="00F55D3C">
      <w:pPr>
        <w:pStyle w:val="Default"/>
      </w:pPr>
      <w:r w:rsidRPr="00ED4C5C">
        <w:rPr>
          <w:b/>
          <w:bCs/>
        </w:rPr>
        <w:t xml:space="preserve">Year Initiated: </w:t>
      </w:r>
      <w:r>
        <w:rPr>
          <w:b/>
          <w:bCs/>
        </w:rPr>
        <w:t>20</w:t>
      </w:r>
      <w:r w:rsidR="00F52B71">
        <w:rPr>
          <w:b/>
          <w:bCs/>
        </w:rPr>
        <w:t xml:space="preserve">20 </w:t>
      </w:r>
      <w:r w:rsidRPr="00ED4C5C">
        <w:rPr>
          <w:b/>
          <w:bCs/>
        </w:rPr>
        <w:t xml:space="preserve">Current Year: </w:t>
      </w:r>
      <w:r w:rsidR="00E81C87">
        <w:rPr>
          <w:b/>
          <w:bCs/>
        </w:rPr>
        <w:t>20</w:t>
      </w:r>
      <w:r w:rsidR="00591FD6">
        <w:rPr>
          <w:b/>
          <w:bCs/>
        </w:rPr>
        <w:t>22</w:t>
      </w:r>
      <w:r w:rsidR="00E81C87">
        <w:rPr>
          <w:b/>
          <w:bCs/>
        </w:rPr>
        <w:t>-202</w:t>
      </w:r>
      <w:r w:rsidR="00591FD6">
        <w:rPr>
          <w:b/>
          <w:bCs/>
        </w:rPr>
        <w:t>3</w:t>
      </w:r>
      <w:r w:rsidRPr="00ED4C5C">
        <w:rPr>
          <w:b/>
          <w:bCs/>
        </w:rPr>
        <w:t xml:space="preserve">. Terminating Year </w:t>
      </w:r>
      <w:r>
        <w:rPr>
          <w:b/>
          <w:bCs/>
        </w:rPr>
        <w:t>20</w:t>
      </w:r>
      <w:r w:rsidR="0096078E">
        <w:rPr>
          <w:b/>
          <w:bCs/>
        </w:rPr>
        <w:t>2</w:t>
      </w:r>
      <w:r w:rsidR="00E81C87">
        <w:rPr>
          <w:b/>
          <w:bCs/>
        </w:rPr>
        <w:t>3</w:t>
      </w:r>
      <w:r w:rsidRPr="00ED4C5C">
        <w:rPr>
          <w:b/>
          <w:bCs/>
        </w:rPr>
        <w:t xml:space="preserve">. </w:t>
      </w:r>
    </w:p>
    <w:p w14:paraId="775519C4" w14:textId="77777777" w:rsidR="00F55D3C" w:rsidRDefault="00F55D3C" w:rsidP="00F55D3C">
      <w:pPr>
        <w:pStyle w:val="Default"/>
        <w:rPr>
          <w:b/>
          <w:bCs/>
        </w:rPr>
      </w:pPr>
    </w:p>
    <w:p w14:paraId="16CA5BD5" w14:textId="77777777" w:rsidR="00F55D3C" w:rsidRPr="00ED4C5C" w:rsidRDefault="00F55D3C" w:rsidP="00F55D3C">
      <w:pPr>
        <w:pStyle w:val="Default"/>
      </w:pPr>
      <w:r w:rsidRPr="00ED4C5C">
        <w:rPr>
          <w:b/>
          <w:bCs/>
        </w:rPr>
        <w:t xml:space="preserve">Personnel &amp; Cooperators: </w:t>
      </w:r>
    </w:p>
    <w:p w14:paraId="6C31B5F2" w14:textId="355AA800" w:rsidR="00F55D3C" w:rsidRPr="00103BF5" w:rsidRDefault="00F55D3C" w:rsidP="00F55D3C">
      <w:pPr>
        <w:tabs>
          <w:tab w:val="left" w:pos="720"/>
          <w:tab w:val="left" w:pos="1440"/>
          <w:tab w:val="left" w:pos="2160"/>
          <w:tab w:val="left" w:pos="2880"/>
          <w:tab w:val="left" w:pos="3600"/>
          <w:tab w:val="left" w:pos="4320"/>
          <w:tab w:val="left" w:pos="5295"/>
        </w:tabs>
        <w:ind w:left="360" w:hanging="360"/>
        <w:rPr>
          <w:szCs w:val="24"/>
        </w:rPr>
      </w:pPr>
      <w:r w:rsidRPr="00103BF5">
        <w:rPr>
          <w:szCs w:val="24"/>
        </w:rPr>
        <w:t xml:space="preserve">Tim Waters, Washington State University Extension, 509 545-3511, </w:t>
      </w:r>
      <w:hyperlink r:id="rId4" w:history="1">
        <w:r w:rsidRPr="00F5436B">
          <w:rPr>
            <w:rStyle w:val="Hyperlink"/>
            <w:szCs w:val="24"/>
          </w:rPr>
          <w:t>twaters@wsu.edu</w:t>
        </w:r>
      </w:hyperlink>
      <w:r>
        <w:rPr>
          <w:szCs w:val="24"/>
        </w:rPr>
        <w:t xml:space="preserve"> </w:t>
      </w:r>
      <w:r w:rsidRPr="00103BF5">
        <w:rPr>
          <w:szCs w:val="24"/>
        </w:rPr>
        <w:t>, 404 W Clark Ave, Pasco, WA 99301</w:t>
      </w:r>
      <w:r w:rsidR="00E81C87">
        <w:rPr>
          <w:szCs w:val="24"/>
        </w:rPr>
        <w:t>.</w:t>
      </w:r>
      <w:r>
        <w:rPr>
          <w:szCs w:val="24"/>
        </w:rPr>
        <w:t xml:space="preserve"> (Funded)</w:t>
      </w:r>
    </w:p>
    <w:p w14:paraId="4B1E0B46" w14:textId="70347FBD" w:rsidR="00DF3B8B" w:rsidRDefault="00B5599B" w:rsidP="00F55D3C">
      <w:pPr>
        <w:rPr>
          <w:szCs w:val="24"/>
        </w:rPr>
      </w:pPr>
      <w:r>
        <w:rPr>
          <w:szCs w:val="24"/>
        </w:rPr>
        <w:t>David Wheeler,</w:t>
      </w:r>
      <w:r w:rsidR="00666FC1">
        <w:rPr>
          <w:szCs w:val="24"/>
        </w:rPr>
        <w:t xml:space="preserve"> </w:t>
      </w:r>
      <w:r w:rsidR="0086186A">
        <w:rPr>
          <w:szCs w:val="24"/>
        </w:rPr>
        <w:t xml:space="preserve">Plant </w:t>
      </w:r>
      <w:r w:rsidR="00666FC1">
        <w:rPr>
          <w:szCs w:val="24"/>
        </w:rPr>
        <w:t>Pathologist Washington State University Plant Pathology, Pullman, WA.</w:t>
      </w:r>
      <w:r w:rsidR="00E81C87">
        <w:rPr>
          <w:szCs w:val="24"/>
        </w:rPr>
        <w:t xml:space="preserve"> (Funded) </w:t>
      </w:r>
      <w:r w:rsidR="00666FC1">
        <w:rPr>
          <w:szCs w:val="24"/>
        </w:rPr>
        <w:t xml:space="preserve"> </w:t>
      </w:r>
    </w:p>
    <w:p w14:paraId="2A4D28F7" w14:textId="77777777" w:rsidR="00354003" w:rsidRDefault="00354003" w:rsidP="00F55D3C">
      <w:pPr>
        <w:pStyle w:val="Default"/>
        <w:rPr>
          <w:b/>
          <w:bCs/>
        </w:rPr>
      </w:pPr>
    </w:p>
    <w:p w14:paraId="5AA356CB" w14:textId="11B0C7C9" w:rsidR="00F55D3C" w:rsidRPr="00ED4C5C" w:rsidRDefault="00F55D3C" w:rsidP="00F55D3C">
      <w:pPr>
        <w:pStyle w:val="Default"/>
      </w:pPr>
      <w:r w:rsidRPr="00ED4C5C">
        <w:rPr>
          <w:b/>
          <w:bCs/>
        </w:rPr>
        <w:t xml:space="preserve">Funding Request for </w:t>
      </w:r>
      <w:r w:rsidR="00B5599B">
        <w:rPr>
          <w:b/>
          <w:bCs/>
        </w:rPr>
        <w:t>2021-22</w:t>
      </w:r>
      <w:r w:rsidRPr="00D92443">
        <w:rPr>
          <w:b/>
          <w:bCs/>
        </w:rPr>
        <w:t xml:space="preserve">: </w:t>
      </w:r>
      <w:r w:rsidRPr="00D92443">
        <w:t>$</w:t>
      </w:r>
      <w:r w:rsidR="00B5599B">
        <w:t>18</w:t>
      </w:r>
      <w:r w:rsidR="002443C2">
        <w:t>,000</w:t>
      </w:r>
    </w:p>
    <w:p w14:paraId="474585D5" w14:textId="77777777" w:rsidR="00603BF7" w:rsidRDefault="00603BF7" w:rsidP="00F55D3C">
      <w:pPr>
        <w:pStyle w:val="Default"/>
        <w:rPr>
          <w:b/>
          <w:bCs/>
        </w:rPr>
      </w:pPr>
    </w:p>
    <w:p w14:paraId="31BA34A9" w14:textId="04B6D099" w:rsidR="00432CBA" w:rsidRDefault="00F55D3C" w:rsidP="00F55D3C">
      <w:pPr>
        <w:pStyle w:val="Default"/>
      </w:pPr>
      <w:r w:rsidRPr="00ED4C5C">
        <w:rPr>
          <w:b/>
          <w:bCs/>
        </w:rPr>
        <w:t xml:space="preserve">Introduction: Problem Statement, Research Question(s) &amp; Justification: </w:t>
      </w:r>
      <w:r w:rsidR="00432CBA" w:rsidRPr="00432CBA">
        <w:t xml:space="preserve">In </w:t>
      </w:r>
      <w:r w:rsidR="00432CBA">
        <w:t xml:space="preserve">the Pacific Northwest over 90 fungicidal and </w:t>
      </w:r>
      <w:r w:rsidR="00816337">
        <w:t xml:space="preserve">98 </w:t>
      </w:r>
      <w:r w:rsidR="00432CBA">
        <w:t>insecti</w:t>
      </w:r>
      <w:r w:rsidR="00816337">
        <w:t>ci</w:t>
      </w:r>
      <w:r w:rsidR="00432CBA">
        <w:t xml:space="preserve">dal active </w:t>
      </w:r>
      <w:r w:rsidR="00816337">
        <w:t>ingredients</w:t>
      </w:r>
      <w:r w:rsidR="00432CBA">
        <w:t xml:space="preserve"> are labeled for use, </w:t>
      </w:r>
      <w:r w:rsidR="00432CBA" w:rsidRPr="00816337">
        <w:t xml:space="preserve">with many of them available in over 10 different formulations or brands (PICOL 2019). </w:t>
      </w:r>
      <w:r w:rsidR="00816337" w:rsidRPr="00816337">
        <w:t xml:space="preserve">That represents </w:t>
      </w:r>
      <w:r w:rsidR="00901A6F">
        <w:t>thousands of</w:t>
      </w:r>
      <w:r w:rsidR="00816337">
        <w:t xml:space="preserve"> combinations if only one insecticide and fungicide were to be mixed in a spray tank and applied to a field. Pesticides are formulated with very specific ingredients </w:t>
      </w:r>
      <w:proofErr w:type="gramStart"/>
      <w:r w:rsidR="00816337">
        <w:t>in order to</w:t>
      </w:r>
      <w:proofErr w:type="gramEnd"/>
      <w:r w:rsidR="00816337">
        <w:t xml:space="preserve"> achieve the desired impact when applied to a site. The active ingredient is the component that causes mortality to the target taxa. </w:t>
      </w:r>
      <w:r w:rsidR="001A4235">
        <w:t>Each pesticide contains inert ingredients with various roles including aiding in deposition, keeping the product in solution, penetration of the plant cuticle,</w:t>
      </w:r>
      <w:r w:rsidR="00AF3855">
        <w:t xml:space="preserve"> improving shelf life or photostability</w:t>
      </w:r>
      <w:r w:rsidR="001A4235">
        <w:t xml:space="preserve"> </w:t>
      </w:r>
      <w:r w:rsidR="00AF3855">
        <w:t>or even attracting the pest. Issues with physical incompatibility are often a result of the inert ingredients and are eas</w:t>
      </w:r>
      <w:r w:rsidR="0086186A">
        <w:t>y</w:t>
      </w:r>
      <w:r w:rsidR="00AF3855">
        <w:t xml:space="preserve"> to determine with a simple ‘jar test’. Similarly, phytotoxicity to the crop is rare, but most times plain to observe. For example, it is well known that mixing Super Tin fungicide with EC formulations of insecticides is phytotoxic to potato plants. </w:t>
      </w:r>
      <w:r w:rsidR="0086186A">
        <w:t xml:space="preserve">However, little work has been done in potato to determine the effectiveness of fungicides and insecticides when tank mixed. </w:t>
      </w:r>
      <w:r w:rsidR="00403B82">
        <w:t xml:space="preserve">The last published data on this subject in potatoes is by Muncie and </w:t>
      </w:r>
      <w:proofErr w:type="spellStart"/>
      <w:r w:rsidR="00403B82">
        <w:t>Morofsky</w:t>
      </w:r>
      <w:proofErr w:type="spellEnd"/>
      <w:r w:rsidR="00403B82">
        <w:t xml:space="preserve"> in 1949. Clearly the products available have completely changed since that study. </w:t>
      </w:r>
      <w:r w:rsidR="0086186A">
        <w:t xml:space="preserve">Crop consultants and growers are left to guess which combinations are best suited for their crop. Studies in other crops have documented reduced efficacy to some common tank mixes of fungicides and insecticides. </w:t>
      </w:r>
      <w:r w:rsidR="00901A6F">
        <w:t>Nault et al. (2013) determined that onion thrips control was reduced by as much as 48% when insecticides were applied as a tank mix with products containing chlorothalonil fungicide. That study did not quantify the fungicide effectiveness.</w:t>
      </w:r>
      <w:r w:rsidR="004012F3">
        <w:t xml:space="preserve"> </w:t>
      </w:r>
    </w:p>
    <w:p w14:paraId="560BFDA2" w14:textId="0CE43DF5" w:rsidR="001A4235" w:rsidRPr="00816337" w:rsidRDefault="001A4235" w:rsidP="00F55D3C">
      <w:pPr>
        <w:pStyle w:val="Default"/>
      </w:pPr>
      <w:r>
        <w:t xml:space="preserve">Growers are pressed for time and pressured to produce their crop at a minimal cost. Applications for control of insects and diseases are oftentimes made as tank mixes to save both time and money association with multiple application costs. </w:t>
      </w:r>
      <w:r w:rsidR="004012F3">
        <w:t>If those applications are effective, growers have saved money by foregoing the cost of two separate applications. Conversely, if those applications fail to control the target, the grower has wasted the cost of the two products and the single application</w:t>
      </w:r>
      <w:r w:rsidR="00403B82">
        <w:t>.</w:t>
      </w:r>
      <w:r w:rsidR="00923653">
        <w:t xml:space="preserve"> Questions about tank mixing of products are very common and typically the only common knowledge available is on compatibility and crop safety. Very little information has been quantified on efficacy. </w:t>
      </w:r>
      <w:r w:rsidR="00196B20">
        <w:t>The 202</w:t>
      </w:r>
      <w:r w:rsidR="00E81C87">
        <w:t>2</w:t>
      </w:r>
      <w:r w:rsidR="00196B20">
        <w:t xml:space="preserve"> proposal will build on results from the 2020</w:t>
      </w:r>
      <w:r w:rsidR="00E81C87">
        <w:t xml:space="preserve"> and 2021</w:t>
      </w:r>
      <w:r w:rsidR="00196B20">
        <w:t xml:space="preserve"> project that was funded. </w:t>
      </w:r>
    </w:p>
    <w:p w14:paraId="70954F59" w14:textId="77777777" w:rsidR="00432CBA" w:rsidRDefault="00432CBA" w:rsidP="00F55D3C">
      <w:pPr>
        <w:pStyle w:val="Default"/>
        <w:rPr>
          <w:b/>
          <w:bCs/>
        </w:rPr>
      </w:pPr>
    </w:p>
    <w:p w14:paraId="6C0C69F3" w14:textId="7303772D" w:rsidR="009D6156" w:rsidRDefault="00591FD6" w:rsidP="00D75AAC">
      <w:pPr>
        <w:pStyle w:val="Default"/>
      </w:pPr>
      <w:r>
        <w:t xml:space="preserve">In 2020 and 2021, we found none of the tank mixes that were tested to be incompatible, nor did they cause phytotoxicity. In 2020, Warrior insecticide did not control aphids, while </w:t>
      </w:r>
      <w:proofErr w:type="spellStart"/>
      <w:r>
        <w:t>Beleaf</w:t>
      </w:r>
      <w:proofErr w:type="spellEnd"/>
      <w:r>
        <w:t xml:space="preserve"> insecticide was effective when it was mixed with fungicide or when applied alone, indicating no issues with tank mixing it with the fungicides evaluated. 2021 results are still being tabulated, but our hopes for 202</w:t>
      </w:r>
      <w:r w:rsidR="001B3929">
        <w:t>2</w:t>
      </w:r>
      <w:r>
        <w:t xml:space="preserve"> is to use the data from the previous two seasons to </w:t>
      </w:r>
      <w:r w:rsidR="001B3929">
        <w:t xml:space="preserve">further refine our treatment list. </w:t>
      </w:r>
    </w:p>
    <w:p w14:paraId="51D5286E" w14:textId="797CDEFF" w:rsidR="00A307D7" w:rsidRDefault="00A307D7" w:rsidP="00D75AAC">
      <w:pPr>
        <w:pStyle w:val="Default"/>
      </w:pPr>
    </w:p>
    <w:p w14:paraId="4683D113" w14:textId="15669DE2" w:rsidR="00A307D7" w:rsidRPr="00591FD6" w:rsidRDefault="00A307D7" w:rsidP="00D75AAC">
      <w:pPr>
        <w:pStyle w:val="Default"/>
      </w:pPr>
      <w:r>
        <w:t xml:space="preserve">In 2020, we evaluated the insecticides </w:t>
      </w:r>
      <w:proofErr w:type="spellStart"/>
      <w:r>
        <w:t>Beleaf</w:t>
      </w:r>
      <w:proofErr w:type="spellEnd"/>
      <w:r>
        <w:t xml:space="preserve"> and Warrior in combination with the fungicides </w:t>
      </w:r>
      <w:proofErr w:type="spellStart"/>
      <w:r>
        <w:t>Manzate</w:t>
      </w:r>
      <w:proofErr w:type="spellEnd"/>
      <w:r>
        <w:t xml:space="preserve">, Luna Tranquility, and Bravo for a total of 12 treatments. In 2021, we modified the list and tested the insecticides </w:t>
      </w:r>
      <w:proofErr w:type="spellStart"/>
      <w:r>
        <w:t>Beleaf</w:t>
      </w:r>
      <w:proofErr w:type="spellEnd"/>
      <w:r>
        <w:t xml:space="preserve">, Fulfill and </w:t>
      </w:r>
      <w:proofErr w:type="spellStart"/>
      <w:r>
        <w:t>Tansform</w:t>
      </w:r>
      <w:proofErr w:type="spellEnd"/>
      <w:r>
        <w:t xml:space="preserve"> in combination with the fungicides </w:t>
      </w:r>
      <w:proofErr w:type="spellStart"/>
      <w:r>
        <w:t>Manzate</w:t>
      </w:r>
      <w:proofErr w:type="spellEnd"/>
      <w:r>
        <w:t xml:space="preserve">, Luna Tranquility, and Bravo for a total of 16 treatments. All products were tested alone, and each insecticide was tank mixed with each fungicide. </w:t>
      </w:r>
    </w:p>
    <w:p w14:paraId="0BAD790C" w14:textId="77777777" w:rsidR="009D6156" w:rsidRDefault="009D6156" w:rsidP="00D75AAC">
      <w:pPr>
        <w:pStyle w:val="Default"/>
        <w:rPr>
          <w:b/>
          <w:bCs/>
        </w:rPr>
      </w:pPr>
    </w:p>
    <w:p w14:paraId="26D3DDE2" w14:textId="746D2EF5" w:rsidR="009D6156" w:rsidRDefault="00F55D3C" w:rsidP="00A307D7">
      <w:pPr>
        <w:pStyle w:val="Default"/>
      </w:pPr>
      <w:r w:rsidRPr="00ED4C5C">
        <w:rPr>
          <w:b/>
          <w:bCs/>
        </w:rPr>
        <w:t>Hypothesis &amp; Objectives</w:t>
      </w:r>
      <w:r w:rsidRPr="00ED4C5C">
        <w:t xml:space="preserve">: </w:t>
      </w:r>
      <w:r w:rsidR="005D72E3">
        <w:t xml:space="preserve">Hypothesis: </w:t>
      </w:r>
      <w:r w:rsidR="00B708E1">
        <w:t xml:space="preserve">Tank mixes of insecticides and fungicides will alter the efficacy of each component on its target organisms. </w:t>
      </w:r>
    </w:p>
    <w:p w14:paraId="2AA5655B" w14:textId="5F4DCB13" w:rsidR="00B71F04" w:rsidRDefault="000D08FB" w:rsidP="00F55D3C">
      <w:pPr>
        <w:tabs>
          <w:tab w:val="left" w:pos="0"/>
          <w:tab w:val="left" w:pos="720"/>
          <w:tab w:val="left" w:pos="1440"/>
          <w:tab w:val="left" w:pos="2160"/>
          <w:tab w:val="left" w:pos="2880"/>
          <w:tab w:val="left" w:pos="3600"/>
          <w:tab w:val="left" w:pos="4320"/>
          <w:tab w:val="left" w:pos="5040"/>
          <w:tab w:val="left" w:pos="5760"/>
          <w:tab w:val="left" w:pos="6480"/>
          <w:tab w:val="left" w:pos="7200"/>
          <w:tab w:val="right" w:pos="7920"/>
        </w:tabs>
        <w:rPr>
          <w:szCs w:val="24"/>
        </w:rPr>
      </w:pPr>
      <w:r>
        <w:rPr>
          <w:szCs w:val="24"/>
        </w:rPr>
        <w:t>The objective is to evaluate the effectiveness of common tank mix partners</w:t>
      </w:r>
      <w:r w:rsidR="00403B82">
        <w:rPr>
          <w:szCs w:val="24"/>
        </w:rPr>
        <w:t xml:space="preserve"> (fungicides and insecticides)</w:t>
      </w:r>
      <w:r>
        <w:rPr>
          <w:szCs w:val="24"/>
        </w:rPr>
        <w:t xml:space="preserve"> used on potato crops to determine how effective they are on target insect pests and fungal pathogens. Observations of phytotoxicity, plant health, and yield and quality will also be measured. </w:t>
      </w:r>
      <w:r w:rsidR="001B3929">
        <w:rPr>
          <w:szCs w:val="24"/>
        </w:rPr>
        <w:t xml:space="preserve">We hope to develop a list of insecticides and fungicides for growers and crop advisors that can be tank mixed and still be efficacious for both early blight and aphids. </w:t>
      </w:r>
    </w:p>
    <w:p w14:paraId="43158667" w14:textId="77777777" w:rsidR="00F55D3C" w:rsidRPr="00ED4C5C" w:rsidRDefault="00F55D3C" w:rsidP="00F55D3C">
      <w:pPr>
        <w:pStyle w:val="Default"/>
      </w:pPr>
    </w:p>
    <w:p w14:paraId="57293093" w14:textId="3C70DDDF" w:rsidR="00057BC0" w:rsidRDefault="00F55D3C" w:rsidP="00057BC0">
      <w:pPr>
        <w:rPr>
          <w:color w:val="000000"/>
          <w:shd w:val="clear" w:color="auto" w:fill="FFFFFF"/>
        </w:rPr>
      </w:pPr>
      <w:r w:rsidRPr="00ED4C5C">
        <w:rPr>
          <w:b/>
          <w:bCs/>
          <w:szCs w:val="24"/>
        </w:rPr>
        <w:t xml:space="preserve">Collaboration: </w:t>
      </w:r>
      <w:r w:rsidR="004012F3">
        <w:t>Dr. Waters has been conducting efficacy projects in potatoes for more than 1</w:t>
      </w:r>
      <w:r w:rsidR="00591FD6">
        <w:t>6</w:t>
      </w:r>
      <w:r w:rsidR="004012F3">
        <w:t xml:space="preserve"> years on both insecticides and fungicides. </w:t>
      </w:r>
      <w:r w:rsidR="00057BC0">
        <w:rPr>
          <w:color w:val="000000"/>
          <w:shd w:val="clear" w:color="auto" w:fill="FFFFFF"/>
        </w:rPr>
        <w:t xml:space="preserve">Dr. Wheeler is a potato pathologist in the WSU Department of Plant Pathology. </w:t>
      </w:r>
      <w:r w:rsidR="00591FD6">
        <w:rPr>
          <w:color w:val="000000"/>
          <w:shd w:val="clear" w:color="auto" w:fill="FFFFFF"/>
        </w:rPr>
        <w:t>Dr. Wheeler</w:t>
      </w:r>
      <w:r w:rsidR="00057BC0">
        <w:rPr>
          <w:color w:val="000000"/>
          <w:shd w:val="clear" w:color="auto" w:fill="FFFFFF"/>
        </w:rPr>
        <w:t> will help with experimental design, rating the fungicide efficacy/disease expression, and data analysis.</w:t>
      </w:r>
      <w:r w:rsidR="00B5599B" w:rsidRPr="00B5599B">
        <w:t xml:space="preserve"> </w:t>
      </w:r>
      <w:r w:rsidR="00B5599B">
        <w:t xml:space="preserve">The WSU Pasco research facility is routinely infested with aphids and early blight, so that will be the primary targets of the </w:t>
      </w:r>
      <w:r w:rsidR="00591FD6">
        <w:t>third</w:t>
      </w:r>
      <w:r w:rsidR="00B5599B">
        <w:t xml:space="preserve"> year of study.</w:t>
      </w:r>
      <w:r w:rsidR="00144A20" w:rsidRPr="00144A20">
        <w:t xml:space="preserve"> </w:t>
      </w:r>
      <w:r w:rsidR="00144A20">
        <w:t xml:space="preserve">We changed our fungicide evaluation technique for 2021 to obtain more consistent early blight evaluations and were successful with our new method. Further, we will increase replication to discern more subtle differences among treatments. </w:t>
      </w:r>
    </w:p>
    <w:p w14:paraId="63AEE753" w14:textId="2D356459" w:rsidR="001A3275" w:rsidRDefault="00144A20">
      <w:r>
        <w:t>We will evaluate different mixes than in the last two seasons</w:t>
      </w:r>
      <w:r w:rsidR="00B224ED">
        <w:t>.</w:t>
      </w:r>
      <w:r w:rsidR="00200094">
        <w:t xml:space="preserve"> The products will be tested in combination with one another and by themselves to evaluate effectiveness</w:t>
      </w:r>
      <w:r w:rsidR="00403B82">
        <w:t xml:space="preserve"> and how it is enhanced, reduced, or not changed by tank mixing. </w:t>
      </w:r>
      <w:r w:rsidR="0093438A">
        <w:t xml:space="preserve">We will evaluate </w:t>
      </w:r>
      <w:r w:rsidR="00B224ED">
        <w:t xml:space="preserve">a total of </w:t>
      </w:r>
      <w:r w:rsidR="00B5599B">
        <w:t>16</w:t>
      </w:r>
      <w:r w:rsidR="00B224ED">
        <w:t xml:space="preserve"> treatments including an untreated check. </w:t>
      </w:r>
      <w:r>
        <w:t>We will again survey crop advisors and producers for the most used mixes that have not been evaluated to date. New to the market insecticides (</w:t>
      </w:r>
      <w:r w:rsidR="0093438A">
        <w:t xml:space="preserve">example: </w:t>
      </w:r>
      <w:r>
        <w:t>Sefina) and fungicides (</w:t>
      </w:r>
      <w:r w:rsidR="0093438A">
        <w:t xml:space="preserve">example: </w:t>
      </w:r>
      <w:proofErr w:type="spellStart"/>
      <w:r>
        <w:t>Provysol</w:t>
      </w:r>
      <w:proofErr w:type="spellEnd"/>
      <w:r>
        <w:t xml:space="preserve">) will be included since growers and consultants will have not had experience with mixing those compounds yet. </w:t>
      </w:r>
    </w:p>
    <w:p w14:paraId="5DF239FD" w14:textId="4797B870" w:rsidR="00D9039F" w:rsidRDefault="00D9039F"/>
    <w:p w14:paraId="4A63E8AD" w14:textId="18529D85" w:rsidR="002D5BE3" w:rsidRPr="002D5BE3" w:rsidRDefault="002D5BE3">
      <w:r w:rsidRPr="002D5BE3">
        <w:rPr>
          <w:b/>
          <w:bCs/>
        </w:rPr>
        <w:t xml:space="preserve">Additional Grant Funding: </w:t>
      </w:r>
      <w:r>
        <w:t xml:space="preserve">In kind support has been provided in the past and will be for 2022 in the way of donated fertilizer, potato seed, and crop protection materials. </w:t>
      </w:r>
      <w:r w:rsidR="0093438A">
        <w:t xml:space="preserve">We will consider submitting to the Washington State Commission on Pesticide Registration as well. </w:t>
      </w:r>
    </w:p>
    <w:p w14:paraId="3FC2BAC2" w14:textId="77777777" w:rsidR="002D5BE3" w:rsidRDefault="002D5BE3"/>
    <w:p w14:paraId="4E0BEA4A" w14:textId="7BF4C3F2" w:rsidR="00B71F04" w:rsidRDefault="006D6256">
      <w:pPr>
        <w:rPr>
          <w:b/>
          <w:bCs/>
        </w:rPr>
      </w:pPr>
      <w:r w:rsidRPr="006D6256">
        <w:rPr>
          <w:b/>
          <w:bCs/>
        </w:rPr>
        <w:t xml:space="preserve">References: </w:t>
      </w:r>
    </w:p>
    <w:p w14:paraId="0D2B33DE" w14:textId="47EBAA2D" w:rsidR="00AC14BC" w:rsidRDefault="00AC14BC">
      <w:r w:rsidRPr="00AC14BC">
        <w:t xml:space="preserve">Muncie, J.H. &amp; </w:t>
      </w:r>
      <w:proofErr w:type="spellStart"/>
      <w:r w:rsidRPr="00AC14BC">
        <w:t>Morofsky</w:t>
      </w:r>
      <w:proofErr w:type="spellEnd"/>
      <w:r w:rsidRPr="00AC14BC">
        <w:t xml:space="preserve">, W.F. </w:t>
      </w:r>
      <w:r>
        <w:t xml:space="preserve">Field Tests of Fungicide-Insecticide Combinations in Michigan for 1948. </w:t>
      </w:r>
      <w:r w:rsidRPr="00AC14BC">
        <w:t xml:space="preserve">American Potato Journal (1949) 26: 287. </w:t>
      </w:r>
      <w:hyperlink r:id="rId5" w:history="1">
        <w:r w:rsidRPr="00481E8B">
          <w:rPr>
            <w:rStyle w:val="Hyperlink"/>
          </w:rPr>
          <w:t>https://doi.org/10.1007/BF02884595</w:t>
        </w:r>
      </w:hyperlink>
    </w:p>
    <w:p w14:paraId="3880E8A4" w14:textId="77777777" w:rsidR="00AC14BC" w:rsidRDefault="00AC14BC"/>
    <w:p w14:paraId="780E0888" w14:textId="4FF1CDB1" w:rsidR="00901A6F" w:rsidRPr="00901A6F" w:rsidRDefault="00901A6F">
      <w:r>
        <w:t>Nault, B., Hsu, C. and Hoepting, C. 2013. C</w:t>
      </w:r>
      <w:r w:rsidRPr="00901A6F">
        <w:t>onsequences of co</w:t>
      </w:r>
      <w:r w:rsidRPr="00901A6F">
        <w:rPr>
          <w:rFonts w:ascii="Cambria Math" w:hAnsi="Cambria Math" w:cs="Cambria Math"/>
        </w:rPr>
        <w:t>‐</w:t>
      </w:r>
      <w:r w:rsidRPr="00901A6F">
        <w:t xml:space="preserve">applying insecticides and fungicides for managing </w:t>
      </w:r>
      <w:r w:rsidRPr="00901A6F">
        <w:rPr>
          <w:i/>
          <w:iCs/>
        </w:rPr>
        <w:t xml:space="preserve">Thrips </w:t>
      </w:r>
      <w:proofErr w:type="spellStart"/>
      <w:r w:rsidRPr="00901A6F">
        <w:rPr>
          <w:i/>
          <w:iCs/>
        </w:rPr>
        <w:t>tabaci</w:t>
      </w:r>
      <w:proofErr w:type="spellEnd"/>
      <w:r w:rsidRPr="00901A6F">
        <w:t xml:space="preserve"> (Thysanoptera: Thripidae) on </w:t>
      </w:r>
      <w:r w:rsidR="00403B82">
        <w:t>O</w:t>
      </w:r>
      <w:r w:rsidRPr="00901A6F">
        <w:t>nion</w:t>
      </w:r>
      <w:r>
        <w:t xml:space="preserve">. Pest Management Science. Vol. 69, Issue 7. </w:t>
      </w:r>
    </w:p>
    <w:sectPr w:rsidR="00901A6F" w:rsidRPr="00901A6F" w:rsidSect="001A32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5D3C"/>
    <w:rsid w:val="0000148B"/>
    <w:rsid w:val="000028E0"/>
    <w:rsid w:val="00022FB5"/>
    <w:rsid w:val="00032C1B"/>
    <w:rsid w:val="00057BC0"/>
    <w:rsid w:val="0006083A"/>
    <w:rsid w:val="000B603F"/>
    <w:rsid w:val="000D08FB"/>
    <w:rsid w:val="00134A21"/>
    <w:rsid w:val="00144A20"/>
    <w:rsid w:val="0017530F"/>
    <w:rsid w:val="00195423"/>
    <w:rsid w:val="00196B20"/>
    <w:rsid w:val="001A3275"/>
    <w:rsid w:val="001A4235"/>
    <w:rsid w:val="001B3929"/>
    <w:rsid w:val="001B49ED"/>
    <w:rsid w:val="00200094"/>
    <w:rsid w:val="00205AD3"/>
    <w:rsid w:val="002443C2"/>
    <w:rsid w:val="002D5BE3"/>
    <w:rsid w:val="00354003"/>
    <w:rsid w:val="0036462E"/>
    <w:rsid w:val="00366DFA"/>
    <w:rsid w:val="004012F3"/>
    <w:rsid w:val="00403B82"/>
    <w:rsid w:val="00432CBA"/>
    <w:rsid w:val="004E2B74"/>
    <w:rsid w:val="00586662"/>
    <w:rsid w:val="00591FD6"/>
    <w:rsid w:val="005D72E3"/>
    <w:rsid w:val="005E7A05"/>
    <w:rsid w:val="00603BF7"/>
    <w:rsid w:val="006510B6"/>
    <w:rsid w:val="00666FC1"/>
    <w:rsid w:val="006D0C8D"/>
    <w:rsid w:val="006D3161"/>
    <w:rsid w:val="006D6256"/>
    <w:rsid w:val="00793D88"/>
    <w:rsid w:val="00816337"/>
    <w:rsid w:val="00847155"/>
    <w:rsid w:val="0086186A"/>
    <w:rsid w:val="00867562"/>
    <w:rsid w:val="00901A6F"/>
    <w:rsid w:val="00923653"/>
    <w:rsid w:val="0093438A"/>
    <w:rsid w:val="0096078E"/>
    <w:rsid w:val="00965817"/>
    <w:rsid w:val="009842B4"/>
    <w:rsid w:val="009A5E83"/>
    <w:rsid w:val="009D1355"/>
    <w:rsid w:val="009D6156"/>
    <w:rsid w:val="00A307D7"/>
    <w:rsid w:val="00AC14BC"/>
    <w:rsid w:val="00AF3855"/>
    <w:rsid w:val="00B224ED"/>
    <w:rsid w:val="00B538DF"/>
    <w:rsid w:val="00B5599B"/>
    <w:rsid w:val="00B708E1"/>
    <w:rsid w:val="00B71F04"/>
    <w:rsid w:val="00B87A3E"/>
    <w:rsid w:val="00BC284A"/>
    <w:rsid w:val="00BF0C68"/>
    <w:rsid w:val="00CC33E9"/>
    <w:rsid w:val="00D15D9E"/>
    <w:rsid w:val="00D75AAC"/>
    <w:rsid w:val="00D9039F"/>
    <w:rsid w:val="00D92443"/>
    <w:rsid w:val="00DF3B8B"/>
    <w:rsid w:val="00E07BE5"/>
    <w:rsid w:val="00E26E51"/>
    <w:rsid w:val="00E81039"/>
    <w:rsid w:val="00E81C87"/>
    <w:rsid w:val="00E856E5"/>
    <w:rsid w:val="00F52B71"/>
    <w:rsid w:val="00F55D3C"/>
    <w:rsid w:val="00FA03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080F92"/>
  <w15:docId w15:val="{A7D7095C-9858-409E-BFDC-F794233814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5D3C"/>
    <w:pPr>
      <w:spacing w:after="0" w:line="240" w:lineRule="auto"/>
    </w:pPr>
    <w:rPr>
      <w:rFonts w:ascii="Times New Roman" w:eastAsia="Times New Roman" w:hAnsi="Times New Roman" w:cs="Times New Roman"/>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F55D3C"/>
    <w:pPr>
      <w:autoSpaceDE w:val="0"/>
      <w:autoSpaceDN w:val="0"/>
      <w:adjustRightInd w:val="0"/>
      <w:spacing w:after="0" w:line="240" w:lineRule="auto"/>
    </w:pPr>
    <w:rPr>
      <w:rFonts w:ascii="Times New Roman" w:hAnsi="Times New Roman" w:cs="Times New Roman"/>
      <w:color w:val="000000"/>
      <w:sz w:val="24"/>
      <w:szCs w:val="24"/>
    </w:rPr>
  </w:style>
  <w:style w:type="character" w:styleId="Hyperlink">
    <w:name w:val="Hyperlink"/>
    <w:basedOn w:val="DefaultParagraphFont"/>
    <w:rsid w:val="00F55D3C"/>
    <w:rPr>
      <w:color w:val="0000FF" w:themeColor="hyperlink"/>
      <w:u w:val="single"/>
    </w:rPr>
  </w:style>
  <w:style w:type="paragraph" w:styleId="BalloonText">
    <w:name w:val="Balloon Text"/>
    <w:basedOn w:val="Normal"/>
    <w:link w:val="BalloonTextChar"/>
    <w:uiPriority w:val="99"/>
    <w:semiHidden/>
    <w:unhideWhenUsed/>
    <w:rsid w:val="00FA033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A033D"/>
    <w:rPr>
      <w:rFonts w:ascii="Segoe UI" w:eastAsia="Times New Roman" w:hAnsi="Segoe UI" w:cs="Segoe UI"/>
      <w:sz w:val="18"/>
      <w:szCs w:val="18"/>
    </w:rPr>
  </w:style>
  <w:style w:type="character" w:styleId="UnresolvedMention">
    <w:name w:val="Unresolved Mention"/>
    <w:basedOn w:val="DefaultParagraphFont"/>
    <w:uiPriority w:val="99"/>
    <w:semiHidden/>
    <w:unhideWhenUsed/>
    <w:rsid w:val="00D15D9E"/>
    <w:rPr>
      <w:color w:val="605E5C"/>
      <w:shd w:val="clear" w:color="auto" w:fill="E1DFDD"/>
    </w:rPr>
  </w:style>
  <w:style w:type="character" w:styleId="Emphasis">
    <w:name w:val="Emphasis"/>
    <w:basedOn w:val="DefaultParagraphFont"/>
    <w:uiPriority w:val="20"/>
    <w:qFormat/>
    <w:rsid w:val="00D9039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43936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doi.org/10.1007/BF02884595" TargetMode="External"/><Relationship Id="rId4" Type="http://schemas.openxmlformats.org/officeDocument/2006/relationships/hyperlink" Target="mailto:twaters@wsu.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53</TotalTime>
  <Pages>1</Pages>
  <Words>1012</Words>
  <Characters>5770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Franklin County</Company>
  <LinksUpToDate>false</LinksUpToDate>
  <CharactersWithSpaces>6769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twaters</dc:creator>
  <cp:lastModifiedBy>Waters, Timothy David</cp:lastModifiedBy>
  <cp:revision>8</cp:revision>
  <cp:lastPrinted>2019-09-25T21:20:00Z</cp:lastPrinted>
  <dcterms:created xsi:type="dcterms:W3CDTF">2021-10-06T18:17:00Z</dcterms:created>
  <dcterms:modified xsi:type="dcterms:W3CDTF">2021-10-08T17:05:00Z</dcterms:modified>
</cp:coreProperties>
</file>