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D13F6" w14:textId="77777777" w:rsidR="00982A32" w:rsidRDefault="00982A32" w:rsidP="00982A32"/>
    <w:p w14:paraId="42588882" w14:textId="27816F9A" w:rsidR="00054A1F" w:rsidRDefault="00386B91" w:rsidP="00054A1F">
      <w:pPr>
        <w:pStyle w:val="TtuloApartado1sinnivel"/>
        <w:jc w:val="both"/>
      </w:pPr>
      <w:r>
        <w:t xml:space="preserve">Actividad </w:t>
      </w:r>
      <w:r w:rsidR="000800D4">
        <w:t>g</w:t>
      </w:r>
      <w:r>
        <w:t>rupal</w:t>
      </w:r>
      <w:r w:rsidR="00054A1F" w:rsidRPr="00054A1F">
        <w:t>: Análisis tendencias en D3.js</w:t>
      </w:r>
    </w:p>
    <w:p w14:paraId="5979AA55" w14:textId="77777777" w:rsidR="00054A1F" w:rsidRPr="00054A1F" w:rsidRDefault="00054A1F" w:rsidP="00054A1F">
      <w:pPr>
        <w:rPr>
          <w:rFonts w:eastAsia="Calibri"/>
        </w:rPr>
      </w:pPr>
    </w:p>
    <w:p w14:paraId="2AEB238F" w14:textId="77777777" w:rsidR="00054A1F" w:rsidRPr="00054A1F" w:rsidRDefault="00054A1F" w:rsidP="00054A1F">
      <w:pPr>
        <w:rPr>
          <w:rFonts w:asciiTheme="minorHAnsi" w:eastAsia="Calibri" w:hAnsiTheme="minorHAnsi" w:cstheme="minorHAnsi"/>
          <w:b/>
        </w:rPr>
      </w:pPr>
      <w:r w:rsidRPr="00054A1F">
        <w:rPr>
          <w:rFonts w:asciiTheme="minorHAnsi" w:eastAsia="Calibri" w:hAnsiTheme="minorHAnsi" w:cstheme="minorHAnsi"/>
          <w:b/>
        </w:rPr>
        <w:t>Descripción de la actividad</w:t>
      </w:r>
    </w:p>
    <w:p w14:paraId="19BFE23E" w14:textId="77777777" w:rsidR="00054A1F" w:rsidRPr="00054A1F" w:rsidRDefault="00054A1F" w:rsidP="00054A1F">
      <w:pPr>
        <w:rPr>
          <w:rFonts w:asciiTheme="minorHAnsi" w:eastAsia="Calibri" w:hAnsiTheme="minorHAnsi" w:cstheme="minorHAnsi"/>
        </w:rPr>
      </w:pPr>
    </w:p>
    <w:p w14:paraId="71572E53" w14:textId="77777777" w:rsidR="00054A1F" w:rsidRPr="00054A1F" w:rsidRDefault="00054A1F" w:rsidP="00054A1F">
      <w:pPr>
        <w:rPr>
          <w:rFonts w:asciiTheme="minorHAnsi" w:eastAsia="Calibri" w:hAnsiTheme="minorHAnsi" w:cstheme="minorHAnsi"/>
        </w:rPr>
      </w:pPr>
      <w:r w:rsidRPr="00054A1F">
        <w:rPr>
          <w:rFonts w:asciiTheme="minorHAnsi" w:eastAsia="Calibri" w:hAnsiTheme="minorHAnsi" w:cstheme="minorHAnsi"/>
        </w:rPr>
        <w:t xml:space="preserve">En la actualidad existen múltiples iniciativas de datos abiertos y plataformas que facilitan el </w:t>
      </w:r>
      <w:r w:rsidRPr="00054A1F">
        <w:rPr>
          <w:rFonts w:asciiTheme="minorHAnsi" w:eastAsia="Calibri" w:hAnsiTheme="minorHAnsi" w:cstheme="minorHAnsi"/>
          <w:b/>
          <w:bCs/>
        </w:rPr>
        <w:t>uso de datos públicos por parte de los profesionales y ciudadanos en general</w:t>
      </w:r>
      <w:r w:rsidRPr="00054A1F">
        <w:rPr>
          <w:rFonts w:asciiTheme="minorHAnsi" w:eastAsia="Calibri" w:hAnsiTheme="minorHAnsi" w:cstheme="minorHAnsi"/>
        </w:rPr>
        <w:t xml:space="preserve">, con el objetivo de enriquecer las noticias y contrastar las cifras ofrecidas por las diversas fuentes. </w:t>
      </w:r>
      <w:proofErr w:type="spellStart"/>
      <w:r w:rsidRPr="00054A1F">
        <w:rPr>
          <w:rFonts w:asciiTheme="minorHAnsi" w:eastAsia="Calibri" w:hAnsiTheme="minorHAnsi" w:cstheme="minorHAnsi"/>
          <w:b/>
          <w:bCs/>
        </w:rPr>
        <w:t>epData</w:t>
      </w:r>
      <w:proofErr w:type="spellEnd"/>
      <w:r w:rsidRPr="00054A1F">
        <w:rPr>
          <w:rFonts w:asciiTheme="minorHAnsi" w:eastAsia="Calibri" w:hAnsiTheme="minorHAnsi" w:cstheme="minorHAnsi"/>
          <w:b/>
          <w:bCs/>
        </w:rPr>
        <w:t xml:space="preserve"> </w:t>
      </w:r>
      <w:r w:rsidRPr="00054A1F">
        <w:rPr>
          <w:rFonts w:asciiTheme="minorHAnsi" w:eastAsia="Calibri" w:hAnsiTheme="minorHAnsi" w:cstheme="minorHAnsi"/>
        </w:rPr>
        <w:t xml:space="preserve">es una de dichas plataformas: </w:t>
      </w:r>
      <w:hyperlink r:id="rId11" w:history="1">
        <w:r w:rsidRPr="00054A1F">
          <w:rPr>
            <w:rStyle w:val="Hipervnculo"/>
            <w:rFonts w:asciiTheme="minorHAnsi" w:eastAsia="Calibri" w:hAnsiTheme="minorHAnsi" w:cstheme="minorHAnsi"/>
            <w:sz w:val="24"/>
          </w:rPr>
          <w:t>https://www.epdata.es/</w:t>
        </w:r>
      </w:hyperlink>
    </w:p>
    <w:p w14:paraId="38992322" w14:textId="77777777" w:rsidR="00054A1F" w:rsidRPr="00054A1F" w:rsidRDefault="00054A1F" w:rsidP="00054A1F">
      <w:pPr>
        <w:rPr>
          <w:rFonts w:asciiTheme="minorHAnsi" w:eastAsia="Calibri" w:hAnsiTheme="minorHAnsi" w:cstheme="minorHAnsi"/>
        </w:rPr>
      </w:pPr>
    </w:p>
    <w:p w14:paraId="65E5A84A" w14:textId="77777777" w:rsidR="00054A1F" w:rsidRPr="00054A1F" w:rsidRDefault="00054A1F" w:rsidP="00054A1F">
      <w:pPr>
        <w:rPr>
          <w:rFonts w:asciiTheme="minorHAnsi" w:eastAsia="Calibri" w:hAnsiTheme="minorHAnsi" w:cstheme="minorHAnsi"/>
        </w:rPr>
      </w:pPr>
      <w:proofErr w:type="spellStart"/>
      <w:r w:rsidRPr="00054A1F">
        <w:rPr>
          <w:rFonts w:asciiTheme="minorHAnsi" w:eastAsia="Calibri" w:hAnsiTheme="minorHAnsi" w:cstheme="minorHAnsi"/>
        </w:rPr>
        <w:t>epData</w:t>
      </w:r>
      <w:proofErr w:type="spellEnd"/>
      <w:r w:rsidRPr="00054A1F">
        <w:rPr>
          <w:rFonts w:asciiTheme="minorHAnsi" w:eastAsia="Calibri" w:hAnsiTheme="minorHAnsi" w:cstheme="minorHAnsi"/>
        </w:rPr>
        <w:t xml:space="preserve"> es la plataforma de datos creada por </w:t>
      </w:r>
      <w:r w:rsidRPr="00054A1F">
        <w:rPr>
          <w:rFonts w:asciiTheme="minorHAnsi" w:eastAsia="Calibri" w:hAnsiTheme="minorHAnsi" w:cstheme="minorHAnsi"/>
          <w:i/>
          <w:iCs/>
        </w:rPr>
        <w:t xml:space="preserve">Europa </w:t>
      </w:r>
      <w:proofErr w:type="spellStart"/>
      <w:r w:rsidRPr="00054A1F">
        <w:rPr>
          <w:rFonts w:asciiTheme="minorHAnsi" w:eastAsia="Calibri" w:hAnsiTheme="minorHAnsi" w:cstheme="minorHAnsi"/>
          <w:i/>
          <w:iCs/>
        </w:rPr>
        <w:t>Press</w:t>
      </w:r>
      <w:proofErr w:type="spellEnd"/>
      <w:r w:rsidRPr="00054A1F">
        <w:rPr>
          <w:rFonts w:asciiTheme="minorHAnsi" w:eastAsia="Calibri" w:hAnsiTheme="minorHAnsi" w:cstheme="minorHAnsi"/>
        </w:rPr>
        <w:t xml:space="preserve"> y cuenta con financiación de la </w:t>
      </w:r>
      <w:r w:rsidRPr="00054A1F">
        <w:rPr>
          <w:rFonts w:asciiTheme="minorHAnsi" w:eastAsia="Calibri" w:hAnsiTheme="minorHAnsi" w:cstheme="minorHAnsi"/>
          <w:i/>
          <w:iCs/>
        </w:rPr>
        <w:t xml:space="preserve">Digital News </w:t>
      </w:r>
      <w:proofErr w:type="spellStart"/>
      <w:r w:rsidRPr="00054A1F">
        <w:rPr>
          <w:rFonts w:asciiTheme="minorHAnsi" w:eastAsia="Calibri" w:hAnsiTheme="minorHAnsi" w:cstheme="minorHAnsi"/>
          <w:i/>
          <w:iCs/>
        </w:rPr>
        <w:t>Initiative</w:t>
      </w:r>
      <w:proofErr w:type="spellEnd"/>
      <w:r w:rsidRPr="00054A1F">
        <w:rPr>
          <w:rFonts w:asciiTheme="minorHAnsi" w:eastAsia="Calibri" w:hAnsiTheme="minorHAnsi" w:cstheme="minorHAnsi"/>
          <w:i/>
          <w:iCs/>
        </w:rPr>
        <w:t xml:space="preserve"> </w:t>
      </w:r>
      <w:r w:rsidRPr="00054A1F">
        <w:rPr>
          <w:rFonts w:asciiTheme="minorHAnsi" w:eastAsia="Calibri" w:hAnsiTheme="minorHAnsi" w:cstheme="minorHAnsi"/>
        </w:rPr>
        <w:t xml:space="preserve">de </w:t>
      </w:r>
      <w:r w:rsidRPr="00054A1F">
        <w:rPr>
          <w:rFonts w:asciiTheme="minorHAnsi" w:eastAsia="Calibri" w:hAnsiTheme="minorHAnsi" w:cstheme="minorHAnsi"/>
          <w:i/>
          <w:iCs/>
        </w:rPr>
        <w:t>Google</w:t>
      </w:r>
      <w:r w:rsidRPr="00054A1F">
        <w:rPr>
          <w:rFonts w:asciiTheme="minorHAnsi" w:eastAsia="Calibri" w:hAnsiTheme="minorHAnsi" w:cstheme="minorHAnsi"/>
        </w:rPr>
        <w:t xml:space="preserve">. En </w:t>
      </w:r>
      <w:proofErr w:type="spellStart"/>
      <w:r w:rsidRPr="00054A1F">
        <w:rPr>
          <w:rFonts w:asciiTheme="minorHAnsi" w:eastAsia="Calibri" w:hAnsiTheme="minorHAnsi" w:cstheme="minorHAnsi"/>
        </w:rPr>
        <w:t>epData</w:t>
      </w:r>
      <w:proofErr w:type="spellEnd"/>
      <w:r w:rsidRPr="00054A1F">
        <w:rPr>
          <w:rFonts w:asciiTheme="minorHAnsi" w:eastAsia="Calibri" w:hAnsiTheme="minorHAnsi" w:cstheme="minorHAnsi"/>
        </w:rPr>
        <w:t xml:space="preserve"> podrás encontrar gráficos y datos sobre una gran cantidad de variables sociodemográficas.</w:t>
      </w:r>
    </w:p>
    <w:p w14:paraId="36761007" w14:textId="77777777" w:rsidR="00054A1F" w:rsidRPr="00054A1F" w:rsidRDefault="00054A1F" w:rsidP="00054A1F">
      <w:pPr>
        <w:rPr>
          <w:rFonts w:asciiTheme="minorHAnsi" w:eastAsia="Calibri" w:hAnsiTheme="minorHAnsi" w:cstheme="minorHAnsi"/>
        </w:rPr>
      </w:pPr>
    </w:p>
    <w:p w14:paraId="6A519AA8" w14:textId="77777777" w:rsidR="00054A1F" w:rsidRPr="00054A1F" w:rsidRDefault="00054A1F" w:rsidP="00054A1F">
      <w:pPr>
        <w:rPr>
          <w:rFonts w:asciiTheme="minorHAnsi" w:eastAsia="Calibri" w:hAnsiTheme="minorHAnsi" w:cstheme="minorHAnsi"/>
        </w:rPr>
      </w:pPr>
      <w:r w:rsidRPr="00054A1F">
        <w:rPr>
          <w:rFonts w:asciiTheme="minorHAnsi" w:eastAsia="Calibri" w:hAnsiTheme="minorHAnsi" w:cstheme="minorHAnsi"/>
        </w:rPr>
        <w:t xml:space="preserve">En esta actividad tenéis que </w:t>
      </w:r>
      <w:r w:rsidRPr="00054A1F">
        <w:rPr>
          <w:rFonts w:asciiTheme="minorHAnsi" w:eastAsia="Calibri" w:hAnsiTheme="minorHAnsi" w:cstheme="minorHAnsi"/>
          <w:b/>
          <w:bCs/>
        </w:rPr>
        <w:t xml:space="preserve">crear una visualización interactiva en D3.js que permita analizar tendencias presentes en cualquiera de los ámbitos recogidos en </w:t>
      </w:r>
      <w:proofErr w:type="spellStart"/>
      <w:r w:rsidRPr="00054A1F">
        <w:rPr>
          <w:rFonts w:asciiTheme="minorHAnsi" w:eastAsia="Calibri" w:hAnsiTheme="minorHAnsi" w:cstheme="minorHAnsi"/>
          <w:b/>
          <w:bCs/>
        </w:rPr>
        <w:t>epData</w:t>
      </w:r>
      <w:proofErr w:type="spellEnd"/>
      <w:r w:rsidRPr="00054A1F">
        <w:rPr>
          <w:rFonts w:asciiTheme="minorHAnsi" w:eastAsia="Calibri" w:hAnsiTheme="minorHAnsi" w:cstheme="minorHAnsi"/>
        </w:rPr>
        <w:t>: población, deuda pública, empleo, crimen, vivienda, pensiones, estimación de voto, accidentes de tráfico, etc…</w:t>
      </w:r>
    </w:p>
    <w:p w14:paraId="57A70F1F" w14:textId="77777777" w:rsidR="00054A1F" w:rsidRPr="00054A1F" w:rsidRDefault="00054A1F" w:rsidP="00054A1F">
      <w:pPr>
        <w:rPr>
          <w:rFonts w:asciiTheme="minorHAnsi" w:eastAsia="Calibri" w:hAnsiTheme="minorHAnsi" w:cstheme="minorHAnsi"/>
        </w:rPr>
      </w:pPr>
    </w:p>
    <w:p w14:paraId="3EFC0E46" w14:textId="77777777" w:rsidR="00054A1F" w:rsidRPr="00054A1F" w:rsidRDefault="00054A1F" w:rsidP="00054A1F">
      <w:pPr>
        <w:rPr>
          <w:rFonts w:asciiTheme="minorHAnsi" w:eastAsia="Calibri" w:hAnsiTheme="minorHAnsi" w:cstheme="minorHAnsi"/>
        </w:rPr>
      </w:pPr>
      <w:r w:rsidRPr="00054A1F">
        <w:rPr>
          <w:rFonts w:asciiTheme="minorHAnsi" w:eastAsia="Calibri" w:hAnsiTheme="minorHAnsi" w:cstheme="minorHAnsi"/>
        </w:rPr>
        <w:t>También podéis escoger cualquier otra fuente de datos local de vuestra ciudad o país.</w:t>
      </w:r>
    </w:p>
    <w:p w14:paraId="66BC707D" w14:textId="77777777" w:rsidR="00054A1F" w:rsidRPr="00054A1F" w:rsidRDefault="00054A1F" w:rsidP="00054A1F">
      <w:pPr>
        <w:rPr>
          <w:rFonts w:asciiTheme="minorHAnsi" w:eastAsia="Calibri" w:hAnsiTheme="minorHAnsi" w:cstheme="minorHAnsi"/>
        </w:rPr>
      </w:pPr>
    </w:p>
    <w:p w14:paraId="66345C2D" w14:textId="77777777" w:rsidR="00054A1F" w:rsidRPr="00054A1F" w:rsidRDefault="00054A1F" w:rsidP="00054A1F">
      <w:pPr>
        <w:rPr>
          <w:rFonts w:asciiTheme="minorHAnsi" w:eastAsia="Calibri" w:hAnsiTheme="minorHAnsi" w:cstheme="minorHAnsi"/>
        </w:rPr>
      </w:pPr>
      <w:r w:rsidRPr="00054A1F">
        <w:rPr>
          <w:rFonts w:asciiTheme="minorHAnsi" w:eastAsia="Calibri" w:hAnsiTheme="minorHAnsi" w:cstheme="minorHAnsi"/>
        </w:rPr>
        <w:t xml:space="preserve">En la visualización podrán existir una o más gráficas y se incorporarán todos aquellos elementos (leyendas, </w:t>
      </w:r>
      <w:proofErr w:type="spellStart"/>
      <w:r w:rsidRPr="00054A1F">
        <w:rPr>
          <w:rFonts w:asciiTheme="minorHAnsi" w:eastAsia="Calibri" w:hAnsiTheme="minorHAnsi" w:cstheme="minorHAnsi"/>
          <w:i/>
          <w:iCs/>
        </w:rPr>
        <w:t>tooltips</w:t>
      </w:r>
      <w:proofErr w:type="spellEnd"/>
      <w:r w:rsidRPr="00054A1F">
        <w:rPr>
          <w:rFonts w:asciiTheme="minorHAnsi" w:eastAsia="Calibri" w:hAnsiTheme="minorHAnsi" w:cstheme="minorHAnsi"/>
        </w:rPr>
        <w:t>, animaciones, escalas de tamaños, colores, gestión de eventos…) que contribuyan a un mejor entendimiento de las variables seleccionadas.</w:t>
      </w:r>
    </w:p>
    <w:p w14:paraId="01C1125A" w14:textId="3DE90B8E" w:rsidR="00054A1F" w:rsidRDefault="00054A1F" w:rsidP="00054A1F">
      <w:pPr>
        <w:rPr>
          <w:rFonts w:asciiTheme="minorHAnsi" w:eastAsia="Calibri" w:hAnsiTheme="minorHAnsi" w:cstheme="minorHAnsi"/>
          <w:b/>
        </w:rPr>
      </w:pPr>
    </w:p>
    <w:p w14:paraId="306D0B5F" w14:textId="625A0B9C" w:rsidR="00982A32" w:rsidRDefault="00982A32" w:rsidP="00054A1F">
      <w:pPr>
        <w:rPr>
          <w:rFonts w:asciiTheme="minorHAnsi" w:eastAsia="Calibri" w:hAnsiTheme="minorHAnsi" w:cstheme="minorHAnsi"/>
          <w:b/>
        </w:rPr>
      </w:pPr>
    </w:p>
    <w:p w14:paraId="337C402E" w14:textId="77777777" w:rsidR="00982A32" w:rsidRPr="00054A1F" w:rsidRDefault="00982A32" w:rsidP="00054A1F">
      <w:pPr>
        <w:rPr>
          <w:rFonts w:asciiTheme="minorHAnsi" w:eastAsia="Calibri" w:hAnsiTheme="minorHAnsi" w:cstheme="minorHAnsi"/>
          <w:b/>
        </w:rPr>
      </w:pPr>
    </w:p>
    <w:p w14:paraId="66E9BEAA" w14:textId="77777777" w:rsidR="00054A1F" w:rsidRPr="00054A1F" w:rsidRDefault="00054A1F" w:rsidP="00054A1F">
      <w:pPr>
        <w:rPr>
          <w:rFonts w:asciiTheme="minorHAnsi" w:eastAsia="Calibri" w:hAnsiTheme="minorHAnsi" w:cstheme="minorHAnsi"/>
          <w:b/>
        </w:rPr>
      </w:pPr>
    </w:p>
    <w:p w14:paraId="304473E6" w14:textId="77777777" w:rsidR="00054A1F" w:rsidRPr="00054A1F" w:rsidRDefault="00054A1F" w:rsidP="00054A1F">
      <w:pPr>
        <w:rPr>
          <w:rFonts w:asciiTheme="minorHAnsi" w:eastAsia="Calibri" w:hAnsiTheme="minorHAnsi" w:cstheme="minorHAnsi"/>
          <w:b/>
        </w:rPr>
      </w:pPr>
    </w:p>
    <w:p w14:paraId="4D1F1DDD" w14:textId="77777777" w:rsidR="00054A1F" w:rsidRPr="00054A1F" w:rsidRDefault="00054A1F" w:rsidP="00054A1F">
      <w:pPr>
        <w:rPr>
          <w:rFonts w:asciiTheme="minorHAnsi" w:eastAsia="Calibri" w:hAnsiTheme="minorHAnsi" w:cstheme="minorHAnsi"/>
          <w:b/>
        </w:rPr>
      </w:pPr>
      <w:r w:rsidRPr="00054A1F">
        <w:rPr>
          <w:rFonts w:asciiTheme="minorHAnsi" w:eastAsia="Calibri" w:hAnsiTheme="minorHAnsi" w:cstheme="minorHAnsi"/>
          <w:b/>
        </w:rPr>
        <w:lastRenderedPageBreak/>
        <w:t>Entrega de la actividad</w:t>
      </w:r>
    </w:p>
    <w:p w14:paraId="3DC982EC" w14:textId="77777777" w:rsidR="00054A1F" w:rsidRPr="00054A1F" w:rsidRDefault="00054A1F" w:rsidP="00054A1F">
      <w:pPr>
        <w:rPr>
          <w:rFonts w:asciiTheme="minorHAnsi" w:eastAsia="Calibri" w:hAnsiTheme="minorHAnsi" w:cstheme="minorHAnsi"/>
        </w:rPr>
      </w:pPr>
    </w:p>
    <w:p w14:paraId="76B07731" w14:textId="77777777" w:rsidR="00054A1F" w:rsidRPr="00054A1F" w:rsidRDefault="00054A1F" w:rsidP="00054A1F">
      <w:pPr>
        <w:numPr>
          <w:ilvl w:val="0"/>
          <w:numId w:val="42"/>
        </w:numPr>
        <w:rPr>
          <w:rFonts w:asciiTheme="minorHAnsi" w:eastAsia="Calibri" w:hAnsiTheme="minorHAnsi" w:cstheme="minorHAnsi"/>
        </w:rPr>
      </w:pPr>
      <w:r w:rsidRPr="00054A1F">
        <w:rPr>
          <w:rFonts w:asciiTheme="minorHAnsi" w:eastAsia="Calibri" w:hAnsiTheme="minorHAnsi" w:cstheme="minorHAnsi"/>
        </w:rPr>
        <w:t xml:space="preserve">Tienes que entregar el documento Word o PDF con la </w:t>
      </w:r>
      <w:r w:rsidRPr="00054A1F">
        <w:rPr>
          <w:rFonts w:asciiTheme="minorHAnsi" w:eastAsia="Calibri" w:hAnsiTheme="minorHAnsi" w:cstheme="minorHAnsi"/>
          <w:b/>
          <w:bCs/>
        </w:rPr>
        <w:t>actividad explicada</w:t>
      </w:r>
      <w:r w:rsidRPr="00054A1F">
        <w:rPr>
          <w:rFonts w:asciiTheme="minorHAnsi" w:eastAsia="Calibri" w:hAnsiTheme="minorHAnsi" w:cstheme="minorHAnsi"/>
        </w:rPr>
        <w:t xml:space="preserve">, el </w:t>
      </w:r>
      <w:r w:rsidRPr="00054A1F">
        <w:rPr>
          <w:rFonts w:asciiTheme="minorHAnsi" w:eastAsia="Calibri" w:hAnsiTheme="minorHAnsi" w:cstheme="minorHAnsi"/>
          <w:b/>
          <w:bCs/>
        </w:rPr>
        <w:t>código completo documentado</w:t>
      </w:r>
      <w:r w:rsidRPr="00054A1F">
        <w:rPr>
          <w:rFonts w:asciiTheme="minorHAnsi" w:eastAsia="Calibri" w:hAnsiTheme="minorHAnsi" w:cstheme="minorHAnsi"/>
        </w:rPr>
        <w:t xml:space="preserve"> y las </w:t>
      </w:r>
      <w:r w:rsidRPr="00054A1F">
        <w:rPr>
          <w:rFonts w:asciiTheme="minorHAnsi" w:eastAsia="Calibri" w:hAnsiTheme="minorHAnsi" w:cstheme="minorHAnsi"/>
          <w:b/>
          <w:bCs/>
        </w:rPr>
        <w:t>gráficas insertadas</w:t>
      </w:r>
      <w:r w:rsidRPr="00054A1F">
        <w:rPr>
          <w:rFonts w:asciiTheme="minorHAnsi" w:eastAsia="Calibri" w:hAnsiTheme="minorHAnsi" w:cstheme="minorHAnsi"/>
        </w:rPr>
        <w:t xml:space="preserve">. </w:t>
      </w:r>
    </w:p>
    <w:p w14:paraId="6AD97C5F" w14:textId="77777777" w:rsidR="00054A1F" w:rsidRPr="00054A1F" w:rsidRDefault="00054A1F" w:rsidP="00054A1F">
      <w:pPr>
        <w:numPr>
          <w:ilvl w:val="0"/>
          <w:numId w:val="42"/>
        </w:numPr>
        <w:rPr>
          <w:rFonts w:asciiTheme="minorHAnsi" w:eastAsia="Calibri" w:hAnsiTheme="minorHAnsi" w:cstheme="minorHAnsi"/>
        </w:rPr>
      </w:pPr>
      <w:r w:rsidRPr="00054A1F">
        <w:rPr>
          <w:rFonts w:asciiTheme="minorHAnsi" w:eastAsia="Calibri" w:hAnsiTheme="minorHAnsi" w:cstheme="minorHAnsi"/>
        </w:rPr>
        <w:t xml:space="preserve">También es </w:t>
      </w:r>
      <w:r w:rsidRPr="00054A1F">
        <w:rPr>
          <w:rFonts w:asciiTheme="minorHAnsi" w:eastAsia="Calibri" w:hAnsiTheme="minorHAnsi" w:cstheme="minorHAnsi"/>
          <w:u w:val="single"/>
        </w:rPr>
        <w:t>obligatorio</w:t>
      </w:r>
      <w:r w:rsidRPr="00054A1F">
        <w:rPr>
          <w:rFonts w:asciiTheme="minorHAnsi" w:eastAsia="Calibri" w:hAnsiTheme="minorHAnsi" w:cstheme="minorHAnsi"/>
        </w:rPr>
        <w:t xml:space="preserve"> entregar todos los ficheros que necesarios para generar la visualización:</w:t>
      </w:r>
    </w:p>
    <w:p w14:paraId="3485462B" w14:textId="77777777" w:rsidR="00054A1F" w:rsidRPr="00054A1F" w:rsidRDefault="00054A1F" w:rsidP="00054A1F">
      <w:pPr>
        <w:numPr>
          <w:ilvl w:val="1"/>
          <w:numId w:val="42"/>
        </w:numPr>
        <w:rPr>
          <w:rFonts w:asciiTheme="minorHAnsi" w:hAnsiTheme="minorHAnsi" w:cstheme="minorHAnsi"/>
          <w:b/>
          <w:bCs/>
        </w:rPr>
      </w:pPr>
      <w:r w:rsidRPr="00054A1F">
        <w:rPr>
          <w:rFonts w:asciiTheme="minorHAnsi" w:hAnsiTheme="minorHAnsi" w:cstheme="minorHAnsi"/>
          <w:b/>
          <w:bCs/>
        </w:rPr>
        <w:t>Fichero HTML</w:t>
      </w:r>
    </w:p>
    <w:p w14:paraId="77E1AA9F" w14:textId="77777777" w:rsidR="00054A1F" w:rsidRPr="00054A1F" w:rsidRDefault="00054A1F" w:rsidP="00054A1F">
      <w:pPr>
        <w:numPr>
          <w:ilvl w:val="1"/>
          <w:numId w:val="42"/>
        </w:numPr>
        <w:rPr>
          <w:rFonts w:asciiTheme="minorHAnsi" w:hAnsiTheme="minorHAnsi" w:cstheme="minorHAnsi"/>
          <w:b/>
          <w:bCs/>
        </w:rPr>
      </w:pPr>
      <w:r w:rsidRPr="00054A1F">
        <w:rPr>
          <w:rFonts w:asciiTheme="minorHAnsi" w:hAnsiTheme="minorHAnsi" w:cstheme="minorHAnsi"/>
          <w:b/>
          <w:bCs/>
        </w:rPr>
        <w:t xml:space="preserve">Fichero </w:t>
      </w:r>
      <w:proofErr w:type="spellStart"/>
      <w:r w:rsidRPr="00054A1F">
        <w:rPr>
          <w:rFonts w:asciiTheme="minorHAnsi" w:hAnsiTheme="minorHAnsi" w:cstheme="minorHAnsi"/>
          <w:b/>
          <w:bCs/>
        </w:rPr>
        <w:t>Javascript</w:t>
      </w:r>
      <w:proofErr w:type="spellEnd"/>
    </w:p>
    <w:p w14:paraId="275B8F26" w14:textId="77777777" w:rsidR="00054A1F" w:rsidRPr="00054A1F" w:rsidRDefault="00054A1F" w:rsidP="00054A1F">
      <w:pPr>
        <w:numPr>
          <w:ilvl w:val="1"/>
          <w:numId w:val="42"/>
        </w:numPr>
        <w:rPr>
          <w:rFonts w:asciiTheme="minorHAnsi" w:eastAsia="Calibri" w:hAnsiTheme="minorHAnsi" w:cstheme="minorHAnsi"/>
        </w:rPr>
      </w:pPr>
      <w:proofErr w:type="spellStart"/>
      <w:r w:rsidRPr="00054A1F">
        <w:rPr>
          <w:rFonts w:asciiTheme="minorHAnsi" w:hAnsiTheme="minorHAnsi" w:cstheme="minorHAnsi"/>
          <w:b/>
          <w:bCs/>
        </w:rPr>
        <w:t>Dataset</w:t>
      </w:r>
      <w:proofErr w:type="spellEnd"/>
      <w:r w:rsidRPr="00054A1F">
        <w:rPr>
          <w:rFonts w:asciiTheme="minorHAnsi" w:hAnsiTheme="minorHAnsi" w:cstheme="minorHAnsi"/>
        </w:rPr>
        <w:t xml:space="preserve"> </w:t>
      </w:r>
    </w:p>
    <w:p w14:paraId="2BADD77D" w14:textId="77777777" w:rsidR="00982A32" w:rsidRDefault="00982A32" w:rsidP="00054A1F">
      <w:pPr>
        <w:rPr>
          <w:rFonts w:asciiTheme="minorHAnsi" w:eastAsia="Calibri" w:hAnsiTheme="minorHAnsi" w:cstheme="minorHAnsi"/>
          <w:b/>
        </w:rPr>
      </w:pPr>
    </w:p>
    <w:p w14:paraId="2A949F20" w14:textId="15099535" w:rsidR="00054A1F" w:rsidRPr="00054A1F" w:rsidRDefault="00054A1F" w:rsidP="00054A1F">
      <w:pPr>
        <w:rPr>
          <w:rFonts w:asciiTheme="minorHAnsi" w:eastAsia="Calibri" w:hAnsiTheme="minorHAnsi" w:cstheme="minorHAnsi"/>
          <w:b/>
        </w:rPr>
      </w:pPr>
      <w:r w:rsidRPr="00054A1F">
        <w:rPr>
          <w:rFonts w:asciiTheme="minorHAnsi" w:eastAsia="Calibri" w:hAnsiTheme="minorHAnsi" w:cstheme="minorHAnsi"/>
          <w:b/>
        </w:rPr>
        <w:t>Valoración de la actividad</w:t>
      </w:r>
    </w:p>
    <w:p w14:paraId="22A94F84" w14:textId="77777777" w:rsidR="00054A1F" w:rsidRPr="00054A1F" w:rsidRDefault="00054A1F" w:rsidP="00054A1F">
      <w:pPr>
        <w:rPr>
          <w:rFonts w:asciiTheme="minorHAnsi" w:hAnsiTheme="minorHAnsi" w:cstheme="minorHAnsi"/>
        </w:rPr>
      </w:pPr>
    </w:p>
    <w:p w14:paraId="545C39F8" w14:textId="77777777" w:rsidR="00054A1F" w:rsidRPr="00054A1F" w:rsidRDefault="00054A1F" w:rsidP="00054A1F">
      <w:pPr>
        <w:rPr>
          <w:rFonts w:asciiTheme="minorHAnsi" w:hAnsiTheme="minorHAnsi" w:cstheme="minorHAnsi"/>
        </w:rPr>
      </w:pPr>
      <w:r w:rsidRPr="00054A1F">
        <w:rPr>
          <w:rFonts w:asciiTheme="minorHAnsi" w:hAnsiTheme="minorHAnsi" w:cstheme="minorHAnsi"/>
        </w:rPr>
        <w:t>La nota dependerá de la documentación del código, la calidad de las gráficas desarrolladas, la sencillez en su análisis e interpretación y el grado de interacción existente entre las diferentes gráficas o elementos incluidos en la visualización.</w:t>
      </w:r>
    </w:p>
    <w:p w14:paraId="7128AFB7" w14:textId="77777777" w:rsidR="00054A1F" w:rsidRPr="00054A1F" w:rsidRDefault="00054A1F" w:rsidP="00054A1F">
      <w:pPr>
        <w:rPr>
          <w:rFonts w:asciiTheme="minorHAnsi" w:hAnsiTheme="minorHAnsi" w:cstheme="minorHAnsi"/>
        </w:rPr>
      </w:pPr>
    </w:p>
    <w:p w14:paraId="40E9EA67" w14:textId="77777777" w:rsidR="00054A1F" w:rsidRPr="00054A1F" w:rsidRDefault="00054A1F" w:rsidP="00054A1F">
      <w:pPr>
        <w:rPr>
          <w:rFonts w:asciiTheme="minorHAnsi" w:hAnsiTheme="minorHAnsi" w:cstheme="minorHAnsi"/>
        </w:rPr>
      </w:pPr>
      <w:r w:rsidRPr="00054A1F">
        <w:rPr>
          <w:rFonts w:asciiTheme="minorHAnsi" w:hAnsiTheme="minorHAnsi" w:cstheme="minorHAnsi"/>
        </w:rPr>
        <w:t>También se valorará el grado de originalidad y la modificación/ampliación del código que realice el equipo respecto a los ejercicios realizados en las sesiones presenciales.</w:t>
      </w:r>
    </w:p>
    <w:p w14:paraId="68D2530C" w14:textId="77777777" w:rsidR="00054A1F" w:rsidRPr="00054A1F" w:rsidRDefault="00054A1F" w:rsidP="00054A1F">
      <w:pPr>
        <w:rPr>
          <w:rFonts w:asciiTheme="minorHAnsi" w:hAnsiTheme="minorHAnsi" w:cstheme="minorHAnsi"/>
        </w:rPr>
      </w:pPr>
    </w:p>
    <w:p w14:paraId="215A6253" w14:textId="77777777" w:rsidR="00054A1F" w:rsidRPr="00054A1F" w:rsidRDefault="00054A1F" w:rsidP="00054A1F">
      <w:pPr>
        <w:rPr>
          <w:rFonts w:asciiTheme="minorHAnsi" w:eastAsia="Calibri" w:hAnsiTheme="minorHAnsi" w:cstheme="minorHAnsi"/>
          <w:b/>
        </w:rPr>
      </w:pPr>
      <w:r w:rsidRPr="00054A1F">
        <w:rPr>
          <w:rFonts w:asciiTheme="minorHAnsi" w:eastAsia="Calibri" w:hAnsiTheme="minorHAnsi" w:cstheme="minorHAnsi"/>
          <w:b/>
        </w:rPr>
        <w:t>Reglas básicas</w:t>
      </w:r>
    </w:p>
    <w:p w14:paraId="237AD8FB" w14:textId="77777777" w:rsidR="00054A1F" w:rsidRPr="00054A1F" w:rsidRDefault="00054A1F" w:rsidP="00054A1F">
      <w:pPr>
        <w:rPr>
          <w:rFonts w:asciiTheme="minorHAnsi" w:eastAsia="Calibri" w:hAnsiTheme="minorHAnsi" w:cstheme="minorHAnsi"/>
          <w:b/>
        </w:rPr>
      </w:pPr>
    </w:p>
    <w:p w14:paraId="3AE2CBF5" w14:textId="77777777" w:rsidR="00054A1F" w:rsidRPr="00054A1F" w:rsidRDefault="00054A1F" w:rsidP="00054A1F">
      <w:pPr>
        <w:numPr>
          <w:ilvl w:val="0"/>
          <w:numId w:val="43"/>
        </w:numPr>
        <w:ind w:left="284" w:hanging="284"/>
        <w:rPr>
          <w:rFonts w:asciiTheme="minorHAnsi" w:hAnsiTheme="minorHAnsi" w:cstheme="minorHAnsi"/>
        </w:rPr>
      </w:pPr>
      <w:r w:rsidRPr="00054A1F">
        <w:rPr>
          <w:rFonts w:asciiTheme="minorHAnsi" w:hAnsiTheme="minorHAnsi" w:cstheme="minorHAnsi"/>
        </w:rPr>
        <w:t>El trabajo será realizado en grupo (no más de 4 personas) NOTIFICANDO EN EL DOCUMENTO WORD EL NOMBRE DE TODOS LOS MIEMBROS DEL GRUPO.</w:t>
      </w:r>
    </w:p>
    <w:p w14:paraId="29B74761" w14:textId="77777777" w:rsidR="00054A1F" w:rsidRPr="00054A1F" w:rsidRDefault="00054A1F" w:rsidP="00054A1F">
      <w:pPr>
        <w:ind w:left="284" w:hanging="284"/>
        <w:rPr>
          <w:rFonts w:asciiTheme="minorHAnsi" w:hAnsiTheme="minorHAnsi" w:cstheme="minorHAnsi"/>
        </w:rPr>
      </w:pPr>
    </w:p>
    <w:p w14:paraId="773A11C0" w14:textId="77777777" w:rsidR="00054A1F" w:rsidRPr="00054A1F" w:rsidRDefault="00054A1F" w:rsidP="00054A1F">
      <w:pPr>
        <w:numPr>
          <w:ilvl w:val="0"/>
          <w:numId w:val="43"/>
        </w:numPr>
        <w:ind w:left="284" w:hanging="284"/>
        <w:rPr>
          <w:rFonts w:asciiTheme="minorHAnsi" w:hAnsiTheme="minorHAnsi" w:cstheme="minorHAnsi"/>
        </w:rPr>
      </w:pPr>
      <w:r w:rsidRPr="00054A1F">
        <w:rPr>
          <w:rFonts w:asciiTheme="minorHAnsi" w:hAnsiTheme="minorHAnsi" w:cstheme="minorHAnsi"/>
        </w:rPr>
        <w:t>Se adjuntará una hoja de control validando la participación de todos los componentes del grupo.</w:t>
      </w:r>
    </w:p>
    <w:p w14:paraId="09C7F7D4" w14:textId="537085DC" w:rsidR="00054A1F" w:rsidRDefault="00054A1F" w:rsidP="00054A1F">
      <w:pPr>
        <w:rPr>
          <w:rFonts w:asciiTheme="minorHAnsi" w:eastAsia="Calibri" w:hAnsiTheme="minorHAnsi" w:cstheme="minorHAnsi"/>
          <w:b/>
        </w:rPr>
      </w:pPr>
    </w:p>
    <w:p w14:paraId="1ECC235D" w14:textId="1875637B" w:rsidR="00982A32" w:rsidRDefault="00982A32" w:rsidP="00054A1F">
      <w:pPr>
        <w:rPr>
          <w:rFonts w:asciiTheme="minorHAnsi" w:eastAsia="Calibri" w:hAnsiTheme="minorHAnsi" w:cstheme="minorHAnsi"/>
          <w:b/>
        </w:rPr>
      </w:pPr>
    </w:p>
    <w:p w14:paraId="6A761E1A" w14:textId="77777777" w:rsidR="00982A32" w:rsidRPr="00054A1F" w:rsidRDefault="00982A32" w:rsidP="00054A1F">
      <w:pPr>
        <w:rPr>
          <w:rFonts w:asciiTheme="minorHAnsi" w:eastAsia="Calibri" w:hAnsiTheme="minorHAnsi" w:cstheme="minorHAnsi"/>
          <w:b/>
        </w:rPr>
      </w:pPr>
    </w:p>
    <w:p w14:paraId="577B23E8" w14:textId="77777777" w:rsidR="00054A1F" w:rsidRPr="00054A1F" w:rsidRDefault="00054A1F" w:rsidP="00054A1F">
      <w:pPr>
        <w:rPr>
          <w:rFonts w:asciiTheme="minorHAnsi" w:eastAsia="Calibri" w:hAnsiTheme="minorHAnsi" w:cstheme="minorHAnsi"/>
          <w:b/>
        </w:rPr>
      </w:pPr>
      <w:r w:rsidRPr="00054A1F">
        <w:rPr>
          <w:rFonts w:asciiTheme="minorHAnsi" w:eastAsia="Calibri" w:hAnsiTheme="minorHAnsi" w:cstheme="minorHAnsi"/>
          <w:b/>
        </w:rPr>
        <w:lastRenderedPageBreak/>
        <w:t>Fuentes de datos</w:t>
      </w:r>
    </w:p>
    <w:p w14:paraId="2A1D5559" w14:textId="77777777" w:rsidR="00054A1F" w:rsidRPr="00054A1F" w:rsidRDefault="00054A1F" w:rsidP="00054A1F">
      <w:pPr>
        <w:rPr>
          <w:rFonts w:asciiTheme="minorHAnsi" w:eastAsia="Calibri" w:hAnsiTheme="minorHAnsi" w:cstheme="minorHAnsi"/>
          <w:b/>
        </w:rPr>
      </w:pPr>
    </w:p>
    <w:p w14:paraId="425FF78C" w14:textId="506DC308" w:rsidR="00054A1F" w:rsidRPr="00054A1F" w:rsidRDefault="00054A1F" w:rsidP="00054A1F">
      <w:pPr>
        <w:rPr>
          <w:rFonts w:asciiTheme="minorHAnsi" w:hAnsiTheme="minorHAnsi" w:cstheme="minorHAnsi"/>
          <w:color w:val="000000"/>
        </w:rPr>
      </w:pPr>
      <w:r w:rsidRPr="00054A1F">
        <w:rPr>
          <w:rFonts w:asciiTheme="minorHAnsi" w:hAnsiTheme="minorHAnsi" w:cstheme="minorHAnsi"/>
          <w:color w:val="000000"/>
        </w:rPr>
        <w:t xml:space="preserve">El alumno utilizará sus </w:t>
      </w:r>
      <w:r w:rsidRPr="00054A1F">
        <w:rPr>
          <w:rFonts w:asciiTheme="minorHAnsi" w:hAnsiTheme="minorHAnsi" w:cstheme="minorHAnsi"/>
          <w:b/>
          <w:bCs/>
          <w:color w:val="000000"/>
        </w:rPr>
        <w:t>propias fuentes de datos</w:t>
      </w:r>
      <w:r w:rsidRPr="00054A1F">
        <w:rPr>
          <w:rFonts w:asciiTheme="minorHAnsi" w:hAnsiTheme="minorHAnsi" w:cstheme="minorHAnsi"/>
          <w:color w:val="000000"/>
        </w:rPr>
        <w:t xml:space="preserve"> para la realización del caso, tomando como referencia cualquiera de las existentes en Internet.</w:t>
      </w:r>
    </w:p>
    <w:p w14:paraId="76A882E2" w14:textId="77777777" w:rsidR="00054A1F" w:rsidRPr="00054A1F" w:rsidRDefault="00054A1F" w:rsidP="00054A1F">
      <w:pPr>
        <w:rPr>
          <w:rFonts w:asciiTheme="minorHAnsi" w:hAnsiTheme="minorHAnsi" w:cstheme="minorHAnsi"/>
          <w:color w:val="000000"/>
        </w:rPr>
      </w:pPr>
    </w:p>
    <w:p w14:paraId="39B20DD1" w14:textId="77777777" w:rsidR="00054A1F" w:rsidRPr="00054A1F" w:rsidRDefault="00054A1F" w:rsidP="00054A1F">
      <w:pPr>
        <w:rPr>
          <w:rFonts w:asciiTheme="minorHAnsi" w:hAnsiTheme="minorHAnsi" w:cstheme="minorHAnsi"/>
          <w:color w:val="000000"/>
        </w:rPr>
      </w:pPr>
      <w:r w:rsidRPr="00054A1F">
        <w:rPr>
          <w:rFonts w:asciiTheme="minorHAnsi" w:hAnsiTheme="minorHAnsi" w:cstheme="minorHAnsi"/>
          <w:color w:val="000000"/>
        </w:rPr>
        <w:t xml:space="preserve">Como opción se propone que la </w:t>
      </w:r>
      <w:r w:rsidRPr="00054A1F">
        <w:rPr>
          <w:rFonts w:asciiTheme="minorHAnsi" w:hAnsiTheme="minorHAnsi" w:cstheme="minorHAnsi"/>
          <w:b/>
          <w:color w:val="000000"/>
        </w:rPr>
        <w:t>identificación de las fuentes de datos a utilizar en esta actividad</w:t>
      </w:r>
      <w:r w:rsidRPr="00054A1F">
        <w:rPr>
          <w:rFonts w:asciiTheme="minorHAnsi" w:hAnsiTheme="minorHAnsi" w:cstheme="minorHAnsi"/>
          <w:color w:val="000000"/>
        </w:rPr>
        <w:t xml:space="preserve"> se base en cualquier de los conjuntos de datos disponibles en el catálogo de fuentes de datos abiertas (Open Data) de las Administraciones Públicas, locales, nacionales o internacionales, o en iniciativas privadas.</w:t>
      </w:r>
    </w:p>
    <w:p w14:paraId="7EC8CC2F" w14:textId="77777777" w:rsidR="00054A1F" w:rsidRPr="00054A1F" w:rsidRDefault="00054A1F" w:rsidP="00054A1F">
      <w:pPr>
        <w:rPr>
          <w:rFonts w:asciiTheme="minorHAnsi" w:hAnsiTheme="minorHAnsi" w:cstheme="minorHAnsi"/>
          <w:color w:val="000000"/>
        </w:rPr>
      </w:pPr>
    </w:p>
    <w:p w14:paraId="784E2F4A" w14:textId="77777777" w:rsidR="00054A1F" w:rsidRPr="00054A1F" w:rsidRDefault="00054A1F" w:rsidP="00054A1F">
      <w:pPr>
        <w:rPr>
          <w:rFonts w:asciiTheme="minorHAnsi" w:hAnsiTheme="minorHAnsi" w:cstheme="minorHAnsi"/>
          <w:color w:val="000000"/>
        </w:rPr>
      </w:pPr>
      <w:r w:rsidRPr="00054A1F">
        <w:rPr>
          <w:rFonts w:asciiTheme="minorHAnsi" w:hAnsiTheme="minorHAnsi" w:cstheme="minorHAnsi"/>
          <w:color w:val="000000"/>
        </w:rPr>
        <w:t xml:space="preserve">A modo de ejemplo, se incluye la referencia de </w:t>
      </w:r>
      <w:r w:rsidRPr="00054A1F">
        <w:rPr>
          <w:rFonts w:asciiTheme="minorHAnsi" w:hAnsiTheme="minorHAnsi" w:cstheme="minorHAnsi"/>
          <w:b/>
          <w:bCs/>
          <w:color w:val="000000"/>
        </w:rPr>
        <w:t>epData.es</w:t>
      </w:r>
      <w:r w:rsidRPr="00054A1F">
        <w:rPr>
          <w:rFonts w:asciiTheme="minorHAnsi" w:hAnsiTheme="minorHAnsi" w:cstheme="minorHAnsi"/>
          <w:color w:val="000000"/>
        </w:rPr>
        <w:t xml:space="preserve"> (</w:t>
      </w:r>
      <w:r w:rsidRPr="00054A1F">
        <w:rPr>
          <w:rFonts w:asciiTheme="minorHAnsi" w:hAnsiTheme="minorHAnsi" w:cstheme="minorHAnsi"/>
        </w:rPr>
        <w:t>https://www.epdata.es/)</w:t>
      </w:r>
      <w:r w:rsidRPr="00054A1F">
        <w:rPr>
          <w:rFonts w:asciiTheme="minorHAnsi" w:hAnsiTheme="minorHAnsi" w:cstheme="minorHAnsi"/>
          <w:color w:val="000000"/>
        </w:rPr>
        <w:t xml:space="preserve"> que facilita el acceso a los datos públicos en formato reutilizable.</w:t>
      </w:r>
    </w:p>
    <w:p w14:paraId="469DD0BD" w14:textId="77777777" w:rsidR="00054A1F" w:rsidRPr="00054A1F" w:rsidRDefault="00054A1F" w:rsidP="00054A1F">
      <w:pPr>
        <w:rPr>
          <w:rFonts w:asciiTheme="minorHAnsi" w:hAnsiTheme="minorHAnsi" w:cstheme="minorHAnsi"/>
        </w:rPr>
      </w:pPr>
    </w:p>
    <w:p w14:paraId="2F5DB156" w14:textId="1DDFDFDA" w:rsidR="00054A1F" w:rsidRDefault="00054A1F" w:rsidP="00054A1F">
      <w:pPr>
        <w:rPr>
          <w:rFonts w:asciiTheme="minorHAnsi" w:eastAsia="Calibri" w:hAnsiTheme="minorHAnsi" w:cstheme="minorHAnsi"/>
          <w:b/>
        </w:rPr>
      </w:pPr>
      <w:r w:rsidRPr="00054A1F">
        <w:rPr>
          <w:rFonts w:asciiTheme="minorHAnsi" w:eastAsia="Calibri" w:hAnsiTheme="minorHAnsi" w:cstheme="minorHAnsi"/>
          <w:b/>
        </w:rPr>
        <w:t>Consejos</w:t>
      </w:r>
    </w:p>
    <w:p w14:paraId="309B6EC9" w14:textId="77777777" w:rsidR="00982A32" w:rsidRPr="00054A1F" w:rsidRDefault="00982A32" w:rsidP="00054A1F">
      <w:pPr>
        <w:rPr>
          <w:rFonts w:asciiTheme="minorHAnsi" w:eastAsia="Calibri" w:hAnsiTheme="minorHAnsi" w:cstheme="minorHAnsi"/>
          <w:b/>
        </w:rPr>
      </w:pPr>
    </w:p>
    <w:p w14:paraId="3868FF71" w14:textId="77777777" w:rsidR="00054A1F" w:rsidRPr="00054A1F" w:rsidRDefault="00054A1F" w:rsidP="00054A1F">
      <w:pPr>
        <w:numPr>
          <w:ilvl w:val="0"/>
          <w:numId w:val="44"/>
        </w:numPr>
        <w:ind w:left="284" w:hanging="284"/>
        <w:rPr>
          <w:rFonts w:asciiTheme="minorHAnsi" w:hAnsiTheme="minorHAnsi" w:cstheme="minorHAnsi"/>
        </w:rPr>
      </w:pPr>
      <w:r w:rsidRPr="00054A1F">
        <w:rPr>
          <w:rFonts w:asciiTheme="minorHAnsi" w:hAnsiTheme="minorHAnsi" w:cstheme="minorHAnsi"/>
        </w:rPr>
        <w:t>No os cerréis al primer caso que elijáis y si queréis cambiar porque habéis visto que vuestra primera elección no os gusta, cambiad.</w:t>
      </w:r>
    </w:p>
    <w:p w14:paraId="2F1C6BAB" w14:textId="77777777" w:rsidR="00054A1F" w:rsidRPr="00054A1F" w:rsidRDefault="00054A1F" w:rsidP="00054A1F">
      <w:pPr>
        <w:numPr>
          <w:ilvl w:val="0"/>
          <w:numId w:val="44"/>
        </w:numPr>
        <w:ind w:left="284" w:hanging="284"/>
        <w:rPr>
          <w:rFonts w:asciiTheme="minorHAnsi" w:hAnsiTheme="minorHAnsi" w:cstheme="minorHAnsi"/>
        </w:rPr>
      </w:pPr>
      <w:r w:rsidRPr="00054A1F">
        <w:rPr>
          <w:rFonts w:asciiTheme="minorHAnsi" w:hAnsiTheme="minorHAnsi" w:cstheme="minorHAnsi"/>
        </w:rPr>
        <w:t xml:space="preserve">Ved TODAS las variables del </w:t>
      </w:r>
      <w:proofErr w:type="spellStart"/>
      <w:r w:rsidRPr="00054A1F">
        <w:rPr>
          <w:rFonts w:asciiTheme="minorHAnsi" w:hAnsiTheme="minorHAnsi" w:cstheme="minorHAnsi"/>
        </w:rPr>
        <w:t>dataset</w:t>
      </w:r>
      <w:proofErr w:type="spellEnd"/>
      <w:r w:rsidRPr="00054A1F">
        <w:rPr>
          <w:rFonts w:asciiTheme="minorHAnsi" w:hAnsiTheme="minorHAnsi" w:cstheme="minorHAnsi"/>
        </w:rPr>
        <w:t xml:space="preserve"> y entender qué significan, cuáles pueden ser útiles para vuestro caso y cuáles no.</w:t>
      </w:r>
    </w:p>
    <w:p w14:paraId="705B3BE3" w14:textId="77777777" w:rsidR="00054A1F" w:rsidRPr="00054A1F" w:rsidRDefault="00054A1F" w:rsidP="00054A1F">
      <w:pPr>
        <w:numPr>
          <w:ilvl w:val="0"/>
          <w:numId w:val="44"/>
        </w:numPr>
        <w:ind w:left="284" w:hanging="284"/>
        <w:rPr>
          <w:rFonts w:asciiTheme="minorHAnsi" w:hAnsiTheme="minorHAnsi" w:cstheme="minorHAnsi"/>
        </w:rPr>
      </w:pPr>
      <w:r w:rsidRPr="00054A1F">
        <w:rPr>
          <w:rFonts w:asciiTheme="minorHAnsi" w:hAnsiTheme="minorHAnsi" w:cstheme="minorHAnsi"/>
        </w:rPr>
        <w:t>Pensad en las preguntas de negocio a las que queréis dar una respuesta con vuestras visualizaciones.</w:t>
      </w:r>
    </w:p>
    <w:p w14:paraId="77155937" w14:textId="77777777" w:rsidR="00054A1F" w:rsidRPr="00054A1F" w:rsidRDefault="00054A1F" w:rsidP="00054A1F">
      <w:pPr>
        <w:ind w:left="720"/>
        <w:rPr>
          <w:rFonts w:asciiTheme="minorHAnsi" w:hAnsiTheme="minorHAnsi" w:cstheme="minorHAnsi"/>
        </w:rPr>
      </w:pPr>
    </w:p>
    <w:p w14:paraId="090C8699" w14:textId="77777777" w:rsidR="00054A1F" w:rsidRDefault="00054A1F">
      <w:pPr>
        <w:spacing w:after="160" w:line="259" w:lineRule="auto"/>
        <w:jc w:val="left"/>
        <w:rPr>
          <w:rFonts w:asciiTheme="minorHAnsi" w:eastAsia="Calibri" w:hAnsiTheme="minorHAnsi" w:cstheme="minorHAnsi"/>
          <w:b/>
        </w:rPr>
      </w:pPr>
      <w:r>
        <w:rPr>
          <w:rFonts w:asciiTheme="minorHAnsi" w:eastAsia="Calibri" w:hAnsiTheme="minorHAnsi" w:cstheme="minorHAnsi"/>
          <w:b/>
        </w:rPr>
        <w:br w:type="page"/>
      </w:r>
    </w:p>
    <w:p w14:paraId="4094598C" w14:textId="77777777" w:rsidR="00054A1F" w:rsidRDefault="00054A1F" w:rsidP="00054A1F">
      <w:pPr>
        <w:rPr>
          <w:rFonts w:asciiTheme="minorHAnsi" w:eastAsia="Calibri" w:hAnsiTheme="minorHAnsi" w:cstheme="minorHAnsi"/>
          <w:b/>
        </w:rPr>
      </w:pPr>
      <w:r w:rsidRPr="00054A1F">
        <w:rPr>
          <w:rFonts w:asciiTheme="minorHAnsi" w:eastAsia="Calibri" w:hAnsiTheme="minorHAnsi" w:cstheme="minorHAnsi"/>
          <w:b/>
        </w:rPr>
        <w:lastRenderedPageBreak/>
        <w:t>Rúbrica</w:t>
      </w:r>
    </w:p>
    <w:p w14:paraId="163C3205" w14:textId="77777777" w:rsidR="00054A1F" w:rsidRPr="00054A1F" w:rsidRDefault="00054A1F" w:rsidP="00054A1F">
      <w:pPr>
        <w:rPr>
          <w:rFonts w:asciiTheme="minorHAnsi" w:eastAsia="Calibri" w:hAnsiTheme="minorHAnsi" w:cstheme="minorHAnsi"/>
          <w:b/>
        </w:rPr>
      </w:pPr>
    </w:p>
    <w:tbl>
      <w:tblPr>
        <w:tblW w:w="8613" w:type="dxa"/>
        <w:tblBorders>
          <w:top w:val="single" w:sz="4" w:space="0" w:color="FFFFFF"/>
          <w:left w:val="single" w:sz="4" w:space="0" w:color="FFFFFF"/>
          <w:bottom w:val="single" w:sz="4" w:space="0" w:color="FFFFFF"/>
          <w:right w:val="single" w:sz="4" w:space="0" w:color="FFFFFF"/>
        </w:tblBorders>
        <w:tblLayout w:type="fixed"/>
        <w:tblLook w:val="04A0" w:firstRow="1" w:lastRow="0" w:firstColumn="1" w:lastColumn="0" w:noHBand="0" w:noVBand="1"/>
      </w:tblPr>
      <w:tblGrid>
        <w:gridCol w:w="1555"/>
        <w:gridCol w:w="4536"/>
        <w:gridCol w:w="1275"/>
        <w:gridCol w:w="1247"/>
      </w:tblGrid>
      <w:tr w:rsidR="00054A1F" w14:paraId="2A96A456" w14:textId="77777777" w:rsidTr="009E082B">
        <w:tc>
          <w:tcPr>
            <w:tcW w:w="1555" w:type="dxa"/>
            <w:tcBorders>
              <w:top w:val="single" w:sz="4" w:space="0" w:color="FFFFFF"/>
              <w:left w:val="single" w:sz="4" w:space="0" w:color="FFFFFF"/>
              <w:bottom w:val="single" w:sz="4" w:space="0" w:color="FFFFFF"/>
              <w:right w:val="nil"/>
            </w:tcBorders>
            <w:shd w:val="clear" w:color="auto" w:fill="0098CD"/>
            <w:vAlign w:val="center"/>
            <w:hideMark/>
          </w:tcPr>
          <w:p w14:paraId="1E579B59" w14:textId="0FFB844F" w:rsidR="00054A1F" w:rsidRDefault="0036355F" w:rsidP="000C40DD">
            <w:pPr>
              <w:jc w:val="center"/>
              <w:rPr>
                <w:rFonts w:cs="UnitOT-Medi"/>
                <w:bCs/>
                <w:color w:val="FFFFFF"/>
                <w:sz w:val="22"/>
                <w:szCs w:val="22"/>
              </w:rPr>
            </w:pPr>
            <w:r w:rsidRPr="0036355F">
              <w:rPr>
                <w:rFonts w:cs="UnitOT-Medi"/>
                <w:color w:val="FFFFFF"/>
                <w:sz w:val="22"/>
                <w:szCs w:val="22"/>
              </w:rPr>
              <w:t>Actividad grupal: Análisis tendencias en D3.js</w:t>
            </w:r>
          </w:p>
        </w:tc>
        <w:tc>
          <w:tcPr>
            <w:tcW w:w="4536" w:type="dxa"/>
            <w:tcBorders>
              <w:top w:val="single" w:sz="4" w:space="0" w:color="FFFFFF"/>
              <w:left w:val="nil"/>
              <w:bottom w:val="single" w:sz="4" w:space="0" w:color="FFFFFF"/>
              <w:right w:val="nil"/>
            </w:tcBorders>
            <w:shd w:val="clear" w:color="auto" w:fill="0098CD"/>
            <w:vAlign w:val="center"/>
            <w:hideMark/>
          </w:tcPr>
          <w:p w14:paraId="21EF5B48" w14:textId="77777777" w:rsidR="00054A1F" w:rsidRDefault="00054A1F" w:rsidP="000C40DD">
            <w:pPr>
              <w:jc w:val="center"/>
              <w:rPr>
                <w:rFonts w:cs="UnitOT-Medi"/>
                <w:bCs/>
                <w:color w:val="FFFFFF"/>
                <w:sz w:val="22"/>
                <w:szCs w:val="22"/>
              </w:rPr>
            </w:pPr>
            <w:r>
              <w:rPr>
                <w:rFonts w:cs="UnitOT-Medi"/>
                <w:color w:val="FFFFFF"/>
                <w:sz w:val="22"/>
                <w:szCs w:val="22"/>
              </w:rPr>
              <w:t>Descripción</w:t>
            </w:r>
          </w:p>
        </w:tc>
        <w:tc>
          <w:tcPr>
            <w:tcW w:w="1275" w:type="dxa"/>
            <w:tcBorders>
              <w:top w:val="single" w:sz="4" w:space="0" w:color="FFFFFF"/>
              <w:left w:val="nil"/>
              <w:bottom w:val="single" w:sz="4" w:space="0" w:color="FFFFFF"/>
              <w:right w:val="nil"/>
            </w:tcBorders>
            <w:shd w:val="clear" w:color="auto" w:fill="0098CD"/>
            <w:vAlign w:val="center"/>
            <w:hideMark/>
          </w:tcPr>
          <w:p w14:paraId="768DAA9A" w14:textId="77777777" w:rsidR="00054A1F" w:rsidRDefault="00054A1F" w:rsidP="000C40DD">
            <w:pPr>
              <w:jc w:val="center"/>
              <w:rPr>
                <w:rFonts w:cs="UnitOT-Medi"/>
                <w:bCs/>
                <w:color w:val="FFFFFF"/>
                <w:sz w:val="22"/>
                <w:szCs w:val="22"/>
              </w:rPr>
            </w:pPr>
            <w:r>
              <w:rPr>
                <w:rFonts w:cs="UnitOT-Medi"/>
                <w:color w:val="FFFFFF"/>
                <w:sz w:val="22"/>
                <w:szCs w:val="22"/>
              </w:rPr>
              <w:t>Puntuación máxima</w:t>
            </w:r>
          </w:p>
          <w:p w14:paraId="33D6C0CB" w14:textId="77777777" w:rsidR="00054A1F" w:rsidRDefault="00054A1F" w:rsidP="000C40DD">
            <w:pPr>
              <w:jc w:val="center"/>
              <w:rPr>
                <w:rFonts w:cs="UnitOT-Medi"/>
                <w:bCs/>
                <w:color w:val="FFFFFF"/>
                <w:sz w:val="22"/>
                <w:szCs w:val="22"/>
              </w:rPr>
            </w:pPr>
            <w:r>
              <w:rPr>
                <w:rFonts w:cs="UnitOT-Medi"/>
                <w:color w:val="FFFFFF"/>
                <w:sz w:val="22"/>
                <w:szCs w:val="22"/>
              </w:rPr>
              <w:t>(puntos)</w:t>
            </w:r>
          </w:p>
        </w:tc>
        <w:tc>
          <w:tcPr>
            <w:tcW w:w="1247" w:type="dxa"/>
            <w:tcBorders>
              <w:top w:val="single" w:sz="4" w:space="0" w:color="FFFFFF"/>
              <w:left w:val="nil"/>
              <w:bottom w:val="single" w:sz="4" w:space="0" w:color="FFFFFF"/>
              <w:right w:val="single" w:sz="4" w:space="0" w:color="FFFFFF"/>
            </w:tcBorders>
            <w:shd w:val="clear" w:color="auto" w:fill="0098CD"/>
            <w:vAlign w:val="center"/>
            <w:hideMark/>
          </w:tcPr>
          <w:p w14:paraId="50AF067C" w14:textId="77777777" w:rsidR="00054A1F" w:rsidRDefault="00054A1F" w:rsidP="000C40DD">
            <w:pPr>
              <w:jc w:val="center"/>
              <w:rPr>
                <w:rFonts w:cs="UnitOT-Medi"/>
                <w:bCs/>
                <w:color w:val="FFFFFF"/>
                <w:sz w:val="22"/>
                <w:szCs w:val="22"/>
              </w:rPr>
            </w:pPr>
            <w:r>
              <w:rPr>
                <w:rFonts w:cs="UnitOT-Medi"/>
                <w:color w:val="FFFFFF"/>
                <w:sz w:val="22"/>
                <w:szCs w:val="22"/>
              </w:rPr>
              <w:t>Peso</w:t>
            </w:r>
          </w:p>
          <w:p w14:paraId="65989B9C" w14:textId="77777777" w:rsidR="00054A1F" w:rsidRDefault="00054A1F" w:rsidP="000C40DD">
            <w:pPr>
              <w:jc w:val="center"/>
              <w:rPr>
                <w:rFonts w:cs="UnitOT-Medi"/>
                <w:bCs/>
                <w:color w:val="FFFFFF"/>
                <w:sz w:val="22"/>
                <w:szCs w:val="22"/>
              </w:rPr>
            </w:pPr>
            <w:r>
              <w:rPr>
                <w:rFonts w:cs="UnitOT-Medi"/>
                <w:color w:val="FFFFFF"/>
                <w:sz w:val="22"/>
                <w:szCs w:val="22"/>
              </w:rPr>
              <w:t>%</w:t>
            </w:r>
          </w:p>
        </w:tc>
      </w:tr>
      <w:tr w:rsidR="00054A1F" w14:paraId="1BA0ED9D" w14:textId="77777777" w:rsidTr="00982A32">
        <w:trPr>
          <w:trHeight w:val="1192"/>
        </w:trPr>
        <w:tc>
          <w:tcPr>
            <w:tcW w:w="1555" w:type="dxa"/>
            <w:tcBorders>
              <w:top w:val="single" w:sz="4" w:space="0" w:color="FFFFFF"/>
              <w:left w:val="single" w:sz="4" w:space="0" w:color="FFFFFF"/>
              <w:bottom w:val="single" w:sz="4" w:space="0" w:color="0098CD"/>
              <w:right w:val="single" w:sz="4" w:space="0" w:color="0098CD"/>
            </w:tcBorders>
            <w:shd w:val="clear" w:color="auto" w:fill="E6F4F9"/>
            <w:vAlign w:val="center"/>
            <w:hideMark/>
          </w:tcPr>
          <w:p w14:paraId="702B49F6" w14:textId="77777777" w:rsidR="00054A1F" w:rsidRDefault="00054A1F" w:rsidP="000C40DD">
            <w:pPr>
              <w:jc w:val="center"/>
              <w:rPr>
                <w:rFonts w:cs="UnitOT-Medi"/>
                <w:bCs/>
                <w:sz w:val="20"/>
                <w:szCs w:val="20"/>
              </w:rPr>
            </w:pPr>
            <w:r>
              <w:rPr>
                <w:rFonts w:cs="UnitOT-Medi"/>
                <w:sz w:val="20"/>
                <w:szCs w:val="20"/>
              </w:rPr>
              <w:t>Criterio 1</w:t>
            </w:r>
          </w:p>
        </w:tc>
        <w:tc>
          <w:tcPr>
            <w:tcW w:w="4536" w:type="dxa"/>
            <w:tcBorders>
              <w:top w:val="single" w:sz="4" w:space="0" w:color="FFFFFF"/>
              <w:left w:val="single" w:sz="4" w:space="0" w:color="0098CD"/>
              <w:bottom w:val="single" w:sz="4" w:space="0" w:color="0098CD"/>
              <w:right w:val="single" w:sz="4" w:space="0" w:color="0098CD"/>
            </w:tcBorders>
            <w:vAlign w:val="center"/>
            <w:hideMark/>
          </w:tcPr>
          <w:p w14:paraId="47C15096" w14:textId="77777777" w:rsidR="00054A1F" w:rsidRDefault="00054A1F" w:rsidP="00054A1F">
            <w:pPr>
              <w:numPr>
                <w:ilvl w:val="0"/>
                <w:numId w:val="41"/>
              </w:numPr>
              <w:spacing w:line="240" w:lineRule="auto"/>
              <w:ind w:left="286" w:hanging="286"/>
              <w:jc w:val="left"/>
              <w:rPr>
                <w:rFonts w:cs="UnitOT-Light"/>
                <w:sz w:val="20"/>
                <w:szCs w:val="20"/>
              </w:rPr>
            </w:pPr>
            <w:r>
              <w:rPr>
                <w:rFonts w:cs="UnitOT-Light"/>
                <w:sz w:val="20"/>
                <w:szCs w:val="20"/>
              </w:rPr>
              <w:t>Documento Word o PDF con la actividad explicada y las gráficas insertadas.</w:t>
            </w:r>
          </w:p>
          <w:p w14:paraId="5E3D6BD3" w14:textId="77777777" w:rsidR="00054A1F" w:rsidRDefault="00054A1F" w:rsidP="00054A1F">
            <w:pPr>
              <w:numPr>
                <w:ilvl w:val="0"/>
                <w:numId w:val="41"/>
              </w:numPr>
              <w:spacing w:line="240" w:lineRule="auto"/>
              <w:ind w:left="286" w:hanging="286"/>
              <w:jc w:val="left"/>
              <w:rPr>
                <w:rFonts w:cs="UnitOT-Light"/>
                <w:sz w:val="20"/>
                <w:szCs w:val="20"/>
              </w:rPr>
            </w:pPr>
            <w:r>
              <w:rPr>
                <w:rFonts w:cs="UnitOT-Light"/>
                <w:sz w:val="20"/>
                <w:szCs w:val="20"/>
              </w:rPr>
              <w:t>Ficheros HTML, .JS y cualquier otro archivo necesario (</w:t>
            </w:r>
            <w:proofErr w:type="spellStart"/>
            <w:r>
              <w:rPr>
                <w:rFonts w:cs="UnitOT-Light"/>
                <w:i/>
                <w:sz w:val="20"/>
                <w:szCs w:val="20"/>
              </w:rPr>
              <w:t>dataset</w:t>
            </w:r>
            <w:proofErr w:type="spellEnd"/>
            <w:r>
              <w:rPr>
                <w:rFonts w:cs="UnitOT-Light"/>
                <w:sz w:val="20"/>
                <w:szCs w:val="20"/>
              </w:rPr>
              <w:t>) para ejecutar la visualización.</w:t>
            </w:r>
          </w:p>
        </w:tc>
        <w:tc>
          <w:tcPr>
            <w:tcW w:w="1275" w:type="dxa"/>
            <w:tcBorders>
              <w:top w:val="single" w:sz="4" w:space="0" w:color="FFFFFF"/>
              <w:left w:val="single" w:sz="4" w:space="0" w:color="0098CD"/>
              <w:bottom w:val="single" w:sz="4" w:space="0" w:color="0098CD"/>
              <w:right w:val="single" w:sz="4" w:space="0" w:color="0098CD"/>
            </w:tcBorders>
            <w:vAlign w:val="center"/>
            <w:hideMark/>
          </w:tcPr>
          <w:p w14:paraId="755E559D" w14:textId="77777777" w:rsidR="00054A1F" w:rsidRDefault="00054A1F" w:rsidP="000C40DD">
            <w:pPr>
              <w:jc w:val="center"/>
              <w:rPr>
                <w:rFonts w:cs="UnitOT-Light"/>
                <w:sz w:val="20"/>
                <w:szCs w:val="20"/>
              </w:rPr>
            </w:pPr>
            <w:r>
              <w:rPr>
                <w:rFonts w:cs="UnitOT-Light"/>
                <w:sz w:val="20"/>
                <w:szCs w:val="20"/>
              </w:rPr>
              <w:t>1</w:t>
            </w:r>
          </w:p>
        </w:tc>
        <w:tc>
          <w:tcPr>
            <w:tcW w:w="1247" w:type="dxa"/>
            <w:tcBorders>
              <w:top w:val="single" w:sz="4" w:space="0" w:color="FFFFFF"/>
              <w:left w:val="single" w:sz="4" w:space="0" w:color="0098CD"/>
              <w:bottom w:val="single" w:sz="4" w:space="0" w:color="0098CD"/>
              <w:right w:val="single" w:sz="4" w:space="0" w:color="FFFFFF"/>
            </w:tcBorders>
            <w:vAlign w:val="center"/>
            <w:hideMark/>
          </w:tcPr>
          <w:p w14:paraId="3F0771AE" w14:textId="77777777" w:rsidR="00054A1F" w:rsidRDefault="00054A1F" w:rsidP="000C40DD">
            <w:pPr>
              <w:jc w:val="center"/>
              <w:rPr>
                <w:rFonts w:cs="UnitOT-Light"/>
                <w:sz w:val="20"/>
                <w:szCs w:val="20"/>
              </w:rPr>
            </w:pPr>
            <w:r>
              <w:rPr>
                <w:rFonts w:cs="UnitOT-Light"/>
                <w:sz w:val="20"/>
                <w:szCs w:val="20"/>
              </w:rPr>
              <w:t>10 %</w:t>
            </w:r>
          </w:p>
        </w:tc>
      </w:tr>
      <w:tr w:rsidR="00054A1F" w14:paraId="1F0269E1" w14:textId="77777777" w:rsidTr="00982A32">
        <w:trPr>
          <w:trHeight w:val="1407"/>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14:paraId="07C86BDE" w14:textId="77777777" w:rsidR="00054A1F" w:rsidRDefault="00054A1F" w:rsidP="000C40DD">
            <w:pPr>
              <w:jc w:val="center"/>
              <w:rPr>
                <w:rFonts w:cs="UnitOT-Medi"/>
                <w:bCs/>
                <w:sz w:val="20"/>
                <w:szCs w:val="20"/>
              </w:rPr>
            </w:pPr>
            <w:r>
              <w:rPr>
                <w:rFonts w:cs="UnitOT-Medi"/>
                <w:sz w:val="20"/>
                <w:szCs w:val="20"/>
              </w:rPr>
              <w:t>Criterio 2</w:t>
            </w:r>
          </w:p>
        </w:tc>
        <w:tc>
          <w:tcPr>
            <w:tcW w:w="4536" w:type="dxa"/>
            <w:tcBorders>
              <w:top w:val="single" w:sz="4" w:space="0" w:color="0098CD"/>
              <w:left w:val="single" w:sz="4" w:space="0" w:color="0098CD"/>
              <w:bottom w:val="single" w:sz="4" w:space="0" w:color="0098CD"/>
              <w:right w:val="single" w:sz="4" w:space="0" w:color="0098CD"/>
            </w:tcBorders>
            <w:vAlign w:val="center"/>
            <w:hideMark/>
          </w:tcPr>
          <w:p w14:paraId="2EDED03B" w14:textId="77777777" w:rsidR="00054A1F" w:rsidRDefault="00054A1F" w:rsidP="00054A1F">
            <w:pPr>
              <w:numPr>
                <w:ilvl w:val="0"/>
                <w:numId w:val="41"/>
              </w:numPr>
              <w:spacing w:line="240" w:lineRule="auto"/>
              <w:ind w:left="283" w:hanging="283"/>
              <w:jc w:val="left"/>
              <w:rPr>
                <w:rFonts w:cs="UnitOT-Light"/>
                <w:sz w:val="20"/>
                <w:szCs w:val="20"/>
              </w:rPr>
            </w:pPr>
            <w:r>
              <w:rPr>
                <w:rFonts w:cs="UnitOT-Light"/>
                <w:sz w:val="20"/>
                <w:szCs w:val="20"/>
              </w:rPr>
              <w:t>Funcionamiento adecuado de la visualización: los elementos incluidos realizan su función.</w:t>
            </w:r>
          </w:p>
          <w:p w14:paraId="34E74432" w14:textId="77777777" w:rsidR="00054A1F" w:rsidRDefault="00054A1F" w:rsidP="00054A1F">
            <w:pPr>
              <w:numPr>
                <w:ilvl w:val="0"/>
                <w:numId w:val="41"/>
              </w:numPr>
              <w:spacing w:line="240" w:lineRule="auto"/>
              <w:ind w:left="283" w:hanging="283"/>
              <w:jc w:val="left"/>
              <w:rPr>
                <w:rFonts w:cs="UnitOT-Light"/>
                <w:sz w:val="20"/>
                <w:szCs w:val="20"/>
              </w:rPr>
            </w:pPr>
            <w:r>
              <w:rPr>
                <w:rFonts w:cs="UnitOT-Light"/>
                <w:sz w:val="20"/>
                <w:szCs w:val="20"/>
              </w:rPr>
              <w:t>El conjunto de las visualizaciones aportadas permite analizar y dar respuesta a la problemática de negocio planteada.</w:t>
            </w:r>
          </w:p>
        </w:tc>
        <w:tc>
          <w:tcPr>
            <w:tcW w:w="1275" w:type="dxa"/>
            <w:tcBorders>
              <w:top w:val="single" w:sz="4" w:space="0" w:color="0098CD"/>
              <w:left w:val="single" w:sz="4" w:space="0" w:color="0098CD"/>
              <w:bottom w:val="single" w:sz="4" w:space="0" w:color="0098CD"/>
              <w:right w:val="single" w:sz="4" w:space="0" w:color="0098CD"/>
            </w:tcBorders>
            <w:vAlign w:val="center"/>
            <w:hideMark/>
          </w:tcPr>
          <w:p w14:paraId="2730070F" w14:textId="77777777" w:rsidR="00054A1F" w:rsidRDefault="00054A1F" w:rsidP="000C40DD">
            <w:pPr>
              <w:jc w:val="center"/>
              <w:rPr>
                <w:rFonts w:cs="UnitOT-Light"/>
                <w:sz w:val="20"/>
                <w:szCs w:val="20"/>
              </w:rPr>
            </w:pPr>
            <w:r>
              <w:rPr>
                <w:rFonts w:cs="UnitOT-Light"/>
                <w:sz w:val="20"/>
                <w:szCs w:val="20"/>
              </w:rPr>
              <w:t>3</w:t>
            </w:r>
          </w:p>
        </w:tc>
        <w:tc>
          <w:tcPr>
            <w:tcW w:w="1247" w:type="dxa"/>
            <w:tcBorders>
              <w:top w:val="single" w:sz="4" w:space="0" w:color="0098CD"/>
              <w:left w:val="single" w:sz="4" w:space="0" w:color="0098CD"/>
              <w:bottom w:val="single" w:sz="4" w:space="0" w:color="0098CD"/>
              <w:right w:val="single" w:sz="4" w:space="0" w:color="FFFFFF"/>
            </w:tcBorders>
            <w:vAlign w:val="center"/>
            <w:hideMark/>
          </w:tcPr>
          <w:p w14:paraId="788B9C91" w14:textId="77777777" w:rsidR="00054A1F" w:rsidRDefault="00054A1F" w:rsidP="000C40DD">
            <w:pPr>
              <w:jc w:val="center"/>
              <w:rPr>
                <w:rFonts w:cs="UnitOT-Light"/>
                <w:sz w:val="20"/>
                <w:szCs w:val="20"/>
              </w:rPr>
            </w:pPr>
            <w:r>
              <w:rPr>
                <w:rFonts w:cs="UnitOT-Light"/>
                <w:sz w:val="20"/>
                <w:szCs w:val="20"/>
              </w:rPr>
              <w:t>30 %</w:t>
            </w:r>
          </w:p>
        </w:tc>
      </w:tr>
      <w:tr w:rsidR="00054A1F" w14:paraId="3AABBAEF" w14:textId="77777777" w:rsidTr="009E082B">
        <w:trPr>
          <w:trHeight w:val="564"/>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14:paraId="3AA49250" w14:textId="77777777" w:rsidR="00054A1F" w:rsidRDefault="00054A1F" w:rsidP="000C40DD">
            <w:pPr>
              <w:jc w:val="center"/>
              <w:rPr>
                <w:rFonts w:cs="UnitOT-Medi"/>
                <w:bCs/>
                <w:sz w:val="20"/>
                <w:szCs w:val="20"/>
              </w:rPr>
            </w:pPr>
            <w:r>
              <w:rPr>
                <w:rFonts w:cs="UnitOT-Medi"/>
                <w:sz w:val="20"/>
                <w:szCs w:val="20"/>
              </w:rPr>
              <w:t>Criterio 3</w:t>
            </w:r>
          </w:p>
        </w:tc>
        <w:tc>
          <w:tcPr>
            <w:tcW w:w="4536" w:type="dxa"/>
            <w:tcBorders>
              <w:top w:val="single" w:sz="4" w:space="0" w:color="0098CD"/>
              <w:left w:val="single" w:sz="4" w:space="0" w:color="0098CD"/>
              <w:bottom w:val="single" w:sz="4" w:space="0" w:color="0098CD"/>
              <w:right w:val="single" w:sz="4" w:space="0" w:color="0098CD"/>
            </w:tcBorders>
            <w:vAlign w:val="center"/>
            <w:hideMark/>
          </w:tcPr>
          <w:p w14:paraId="568DDC08" w14:textId="77777777" w:rsidR="00054A1F" w:rsidRDefault="00054A1F" w:rsidP="000C40DD">
            <w:pPr>
              <w:rPr>
                <w:rFonts w:cs="UnitOT-Light"/>
                <w:sz w:val="20"/>
                <w:szCs w:val="20"/>
              </w:rPr>
            </w:pPr>
            <w:r>
              <w:rPr>
                <w:rFonts w:cs="UnitOT-Light"/>
                <w:sz w:val="20"/>
                <w:szCs w:val="20"/>
              </w:rPr>
              <w:t>Sencillez de la visualización: capacidad de entendimiento simple y sencillo de las gráficas.</w:t>
            </w:r>
          </w:p>
        </w:tc>
        <w:tc>
          <w:tcPr>
            <w:tcW w:w="1275" w:type="dxa"/>
            <w:tcBorders>
              <w:top w:val="single" w:sz="4" w:space="0" w:color="0098CD"/>
              <w:left w:val="single" w:sz="4" w:space="0" w:color="0098CD"/>
              <w:bottom w:val="single" w:sz="4" w:space="0" w:color="0098CD"/>
              <w:right w:val="single" w:sz="4" w:space="0" w:color="0098CD"/>
            </w:tcBorders>
            <w:vAlign w:val="center"/>
            <w:hideMark/>
          </w:tcPr>
          <w:p w14:paraId="1B3EF800" w14:textId="77777777" w:rsidR="00054A1F" w:rsidRDefault="00054A1F" w:rsidP="000C40DD">
            <w:pPr>
              <w:jc w:val="center"/>
              <w:rPr>
                <w:rFonts w:cs="UnitOT-Light"/>
                <w:sz w:val="20"/>
                <w:szCs w:val="20"/>
              </w:rPr>
            </w:pPr>
            <w:r>
              <w:rPr>
                <w:rFonts w:cs="UnitOT-Light"/>
                <w:sz w:val="20"/>
                <w:szCs w:val="20"/>
              </w:rPr>
              <w:t>2</w:t>
            </w:r>
          </w:p>
        </w:tc>
        <w:tc>
          <w:tcPr>
            <w:tcW w:w="1247" w:type="dxa"/>
            <w:tcBorders>
              <w:top w:val="single" w:sz="4" w:space="0" w:color="0098CD"/>
              <w:left w:val="single" w:sz="4" w:space="0" w:color="0098CD"/>
              <w:bottom w:val="single" w:sz="4" w:space="0" w:color="0098CD"/>
              <w:right w:val="single" w:sz="4" w:space="0" w:color="FFFFFF"/>
            </w:tcBorders>
            <w:vAlign w:val="center"/>
            <w:hideMark/>
          </w:tcPr>
          <w:p w14:paraId="59BCCA5A" w14:textId="77777777" w:rsidR="00054A1F" w:rsidRDefault="00054A1F" w:rsidP="000C40DD">
            <w:pPr>
              <w:jc w:val="center"/>
              <w:rPr>
                <w:rFonts w:cs="UnitOT-Light"/>
                <w:sz w:val="20"/>
                <w:szCs w:val="20"/>
              </w:rPr>
            </w:pPr>
            <w:r>
              <w:rPr>
                <w:rFonts w:cs="UnitOT-Light"/>
                <w:sz w:val="20"/>
                <w:szCs w:val="20"/>
              </w:rPr>
              <w:t>20 %</w:t>
            </w:r>
          </w:p>
        </w:tc>
      </w:tr>
      <w:tr w:rsidR="00054A1F" w14:paraId="0CC0C4D9" w14:textId="77777777" w:rsidTr="009E082B">
        <w:trPr>
          <w:trHeight w:val="704"/>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14:paraId="692F2D4D" w14:textId="77777777" w:rsidR="00054A1F" w:rsidRDefault="00054A1F" w:rsidP="000C40DD">
            <w:pPr>
              <w:jc w:val="center"/>
              <w:rPr>
                <w:rFonts w:cs="UnitOT-Medi"/>
                <w:bCs/>
                <w:sz w:val="20"/>
                <w:szCs w:val="20"/>
              </w:rPr>
            </w:pPr>
            <w:r>
              <w:rPr>
                <w:rFonts w:cs="UnitOT-Medi"/>
                <w:sz w:val="20"/>
                <w:szCs w:val="20"/>
              </w:rPr>
              <w:t>Criterio 4</w:t>
            </w:r>
          </w:p>
        </w:tc>
        <w:tc>
          <w:tcPr>
            <w:tcW w:w="4536" w:type="dxa"/>
            <w:tcBorders>
              <w:top w:val="single" w:sz="4" w:space="0" w:color="0098CD"/>
              <w:left w:val="single" w:sz="4" w:space="0" w:color="0098CD"/>
              <w:bottom w:val="single" w:sz="4" w:space="0" w:color="0098CD"/>
              <w:right w:val="single" w:sz="4" w:space="0" w:color="0098CD"/>
            </w:tcBorders>
            <w:vAlign w:val="center"/>
            <w:hideMark/>
          </w:tcPr>
          <w:p w14:paraId="51E9D1F1" w14:textId="77777777" w:rsidR="00054A1F" w:rsidRDefault="00054A1F" w:rsidP="000C40DD">
            <w:pPr>
              <w:rPr>
                <w:rFonts w:cs="UnitOT-Light"/>
                <w:sz w:val="20"/>
                <w:szCs w:val="20"/>
              </w:rPr>
            </w:pPr>
            <w:r>
              <w:rPr>
                <w:rFonts w:cs="UnitOT-Light"/>
                <w:sz w:val="20"/>
                <w:szCs w:val="20"/>
              </w:rPr>
              <w:t>El conjunto de las visualizaciones aprovecha las ventajas y los recursos que ofrece la librería.</w:t>
            </w:r>
          </w:p>
        </w:tc>
        <w:tc>
          <w:tcPr>
            <w:tcW w:w="1275" w:type="dxa"/>
            <w:tcBorders>
              <w:top w:val="single" w:sz="4" w:space="0" w:color="0098CD"/>
              <w:left w:val="single" w:sz="4" w:space="0" w:color="0098CD"/>
              <w:bottom w:val="single" w:sz="4" w:space="0" w:color="0098CD"/>
              <w:right w:val="single" w:sz="4" w:space="0" w:color="0098CD"/>
            </w:tcBorders>
            <w:vAlign w:val="center"/>
            <w:hideMark/>
          </w:tcPr>
          <w:p w14:paraId="1227E4C4" w14:textId="264A157F" w:rsidR="00054A1F" w:rsidRDefault="00982A32" w:rsidP="000C40DD">
            <w:pPr>
              <w:jc w:val="center"/>
              <w:rPr>
                <w:rFonts w:cs="UnitOT-Light"/>
                <w:sz w:val="20"/>
                <w:szCs w:val="20"/>
              </w:rPr>
            </w:pPr>
            <w:r>
              <w:rPr>
                <w:rFonts w:cs="UnitOT-Light"/>
                <w:sz w:val="20"/>
                <w:szCs w:val="20"/>
              </w:rPr>
              <w:t>2</w:t>
            </w:r>
          </w:p>
        </w:tc>
        <w:tc>
          <w:tcPr>
            <w:tcW w:w="1247" w:type="dxa"/>
            <w:tcBorders>
              <w:top w:val="single" w:sz="4" w:space="0" w:color="0098CD"/>
              <w:left w:val="single" w:sz="4" w:space="0" w:color="0098CD"/>
              <w:bottom w:val="single" w:sz="4" w:space="0" w:color="0098CD"/>
              <w:right w:val="single" w:sz="4" w:space="0" w:color="FFFFFF"/>
            </w:tcBorders>
            <w:vAlign w:val="center"/>
            <w:hideMark/>
          </w:tcPr>
          <w:p w14:paraId="1F80015B" w14:textId="1C6E8E50" w:rsidR="00054A1F" w:rsidRDefault="009E082B" w:rsidP="000C40DD">
            <w:pPr>
              <w:jc w:val="center"/>
              <w:rPr>
                <w:rFonts w:cs="UnitOT-Light"/>
                <w:sz w:val="20"/>
                <w:szCs w:val="20"/>
              </w:rPr>
            </w:pPr>
            <w:r>
              <w:rPr>
                <w:rFonts w:cs="UnitOT-Light"/>
                <w:sz w:val="20"/>
                <w:szCs w:val="20"/>
              </w:rPr>
              <w:t>2</w:t>
            </w:r>
            <w:r w:rsidR="00054A1F">
              <w:rPr>
                <w:rFonts w:cs="UnitOT-Light"/>
                <w:sz w:val="20"/>
                <w:szCs w:val="20"/>
              </w:rPr>
              <w:t>0 %</w:t>
            </w:r>
          </w:p>
        </w:tc>
      </w:tr>
      <w:tr w:rsidR="00054A1F" w14:paraId="53FF263A" w14:textId="77777777" w:rsidTr="009E082B">
        <w:trPr>
          <w:trHeight w:val="668"/>
        </w:trPr>
        <w:tc>
          <w:tcPr>
            <w:tcW w:w="1555" w:type="dxa"/>
            <w:tcBorders>
              <w:top w:val="single" w:sz="4" w:space="0" w:color="0098CD"/>
              <w:left w:val="single" w:sz="4" w:space="0" w:color="FFFFFF"/>
              <w:bottom w:val="single" w:sz="4" w:space="0" w:color="0098CD"/>
              <w:right w:val="single" w:sz="4" w:space="0" w:color="0098CD"/>
            </w:tcBorders>
            <w:shd w:val="clear" w:color="auto" w:fill="E6F4F9"/>
            <w:vAlign w:val="center"/>
            <w:hideMark/>
          </w:tcPr>
          <w:p w14:paraId="5A4C6291" w14:textId="77777777" w:rsidR="00054A1F" w:rsidRDefault="00054A1F" w:rsidP="000C40DD">
            <w:pPr>
              <w:jc w:val="center"/>
              <w:rPr>
                <w:rFonts w:cs="UnitOT-Medi"/>
                <w:bCs/>
                <w:sz w:val="20"/>
                <w:szCs w:val="20"/>
              </w:rPr>
            </w:pPr>
            <w:r>
              <w:rPr>
                <w:rFonts w:cs="UnitOT-Medi"/>
                <w:sz w:val="20"/>
                <w:szCs w:val="20"/>
              </w:rPr>
              <w:t>Criterio 5</w:t>
            </w:r>
          </w:p>
        </w:tc>
        <w:tc>
          <w:tcPr>
            <w:tcW w:w="4536" w:type="dxa"/>
            <w:tcBorders>
              <w:top w:val="single" w:sz="4" w:space="0" w:color="0098CD"/>
              <w:left w:val="single" w:sz="4" w:space="0" w:color="0098CD"/>
              <w:bottom w:val="single" w:sz="4" w:space="0" w:color="0098CD"/>
              <w:right w:val="single" w:sz="4" w:space="0" w:color="0098CD"/>
            </w:tcBorders>
            <w:vAlign w:val="center"/>
            <w:hideMark/>
          </w:tcPr>
          <w:p w14:paraId="3F6E352F" w14:textId="77777777" w:rsidR="00054A1F" w:rsidRDefault="00054A1F" w:rsidP="000C40DD">
            <w:pPr>
              <w:rPr>
                <w:rFonts w:cs="UnitOT-Light"/>
                <w:sz w:val="20"/>
                <w:szCs w:val="20"/>
              </w:rPr>
            </w:pPr>
            <w:r>
              <w:rPr>
                <w:rFonts w:cs="UnitOT-Light"/>
                <w:sz w:val="20"/>
                <w:szCs w:val="20"/>
              </w:rPr>
              <w:t>Nivel de diseño e interacción incluidos en la visualización.</w:t>
            </w:r>
          </w:p>
        </w:tc>
        <w:tc>
          <w:tcPr>
            <w:tcW w:w="1275" w:type="dxa"/>
            <w:tcBorders>
              <w:top w:val="single" w:sz="4" w:space="0" w:color="0098CD"/>
              <w:left w:val="single" w:sz="4" w:space="0" w:color="0098CD"/>
              <w:bottom w:val="single" w:sz="4" w:space="0" w:color="0098CD"/>
              <w:right w:val="single" w:sz="4" w:space="0" w:color="0098CD"/>
            </w:tcBorders>
            <w:vAlign w:val="center"/>
            <w:hideMark/>
          </w:tcPr>
          <w:p w14:paraId="01FB241E" w14:textId="77777777" w:rsidR="00054A1F" w:rsidRDefault="00054A1F" w:rsidP="000C40DD">
            <w:pPr>
              <w:jc w:val="center"/>
              <w:rPr>
                <w:rFonts w:cs="UnitOT-Light"/>
                <w:sz w:val="20"/>
                <w:szCs w:val="20"/>
              </w:rPr>
            </w:pPr>
            <w:r>
              <w:rPr>
                <w:rFonts w:cs="UnitOT-Light"/>
                <w:sz w:val="20"/>
                <w:szCs w:val="20"/>
              </w:rPr>
              <w:t>1</w:t>
            </w:r>
          </w:p>
        </w:tc>
        <w:tc>
          <w:tcPr>
            <w:tcW w:w="1247" w:type="dxa"/>
            <w:tcBorders>
              <w:top w:val="single" w:sz="4" w:space="0" w:color="0098CD"/>
              <w:left w:val="single" w:sz="4" w:space="0" w:color="0098CD"/>
              <w:bottom w:val="single" w:sz="4" w:space="0" w:color="0098CD"/>
              <w:right w:val="single" w:sz="4" w:space="0" w:color="FFFFFF"/>
            </w:tcBorders>
            <w:vAlign w:val="center"/>
            <w:hideMark/>
          </w:tcPr>
          <w:p w14:paraId="1AA556C9" w14:textId="77777777" w:rsidR="00054A1F" w:rsidRDefault="00054A1F" w:rsidP="000C40DD">
            <w:pPr>
              <w:jc w:val="center"/>
              <w:rPr>
                <w:rFonts w:cs="UnitOT-Light"/>
                <w:sz w:val="20"/>
                <w:szCs w:val="20"/>
              </w:rPr>
            </w:pPr>
            <w:r>
              <w:rPr>
                <w:rFonts w:cs="UnitOT-Light"/>
                <w:sz w:val="20"/>
                <w:szCs w:val="20"/>
              </w:rPr>
              <w:t>10 %</w:t>
            </w:r>
          </w:p>
        </w:tc>
      </w:tr>
      <w:tr w:rsidR="00054A1F" w14:paraId="39346383" w14:textId="77777777" w:rsidTr="009E082B">
        <w:tc>
          <w:tcPr>
            <w:tcW w:w="1555" w:type="dxa"/>
            <w:tcBorders>
              <w:top w:val="single" w:sz="4" w:space="0" w:color="FFFFFF"/>
              <w:left w:val="single" w:sz="4" w:space="0" w:color="FFFFFF"/>
              <w:bottom w:val="single" w:sz="4" w:space="0" w:color="FFFFFF"/>
              <w:right w:val="single" w:sz="4" w:space="0" w:color="FFFFFF"/>
            </w:tcBorders>
          </w:tcPr>
          <w:p w14:paraId="7E6A5B4E" w14:textId="77777777" w:rsidR="00054A1F" w:rsidRDefault="00054A1F" w:rsidP="000C40DD">
            <w:pPr>
              <w:spacing w:line="288" w:lineRule="auto"/>
              <w:jc w:val="center"/>
              <w:rPr>
                <w:color w:val="000000"/>
                <w:sz w:val="22"/>
                <w:szCs w:val="18"/>
                <w:lang w:eastAsia="en-GB"/>
              </w:rPr>
            </w:pPr>
          </w:p>
        </w:tc>
        <w:tc>
          <w:tcPr>
            <w:tcW w:w="4536" w:type="dxa"/>
            <w:tcBorders>
              <w:top w:val="single" w:sz="4" w:space="0" w:color="FFFFFF"/>
              <w:left w:val="single" w:sz="4" w:space="0" w:color="FFFFFF"/>
              <w:bottom w:val="single" w:sz="4" w:space="0" w:color="FFFFFF"/>
              <w:right w:val="single" w:sz="4" w:space="0" w:color="FFFFFF"/>
            </w:tcBorders>
          </w:tcPr>
          <w:p w14:paraId="513DB02D" w14:textId="77777777" w:rsidR="00054A1F" w:rsidRDefault="00054A1F" w:rsidP="000C40DD">
            <w:pPr>
              <w:jc w:val="center"/>
              <w:rPr>
                <w:rFonts w:cs="UnitOT-Light"/>
                <w:b/>
                <w:sz w:val="20"/>
                <w:szCs w:val="20"/>
              </w:rPr>
            </w:pPr>
          </w:p>
        </w:tc>
        <w:tc>
          <w:tcPr>
            <w:tcW w:w="1275" w:type="dxa"/>
            <w:tcBorders>
              <w:top w:val="single" w:sz="4" w:space="0" w:color="0098CD"/>
              <w:left w:val="single" w:sz="4" w:space="0" w:color="FFFFFF"/>
              <w:bottom w:val="single" w:sz="4" w:space="0" w:color="FFFFFF"/>
              <w:right w:val="single" w:sz="4" w:space="0" w:color="0098CD"/>
            </w:tcBorders>
            <w:shd w:val="clear" w:color="auto" w:fill="E6F4F9"/>
            <w:hideMark/>
          </w:tcPr>
          <w:p w14:paraId="469C9D77" w14:textId="68DF1A69" w:rsidR="00054A1F" w:rsidRDefault="00982A32" w:rsidP="000C40DD">
            <w:pPr>
              <w:jc w:val="center"/>
              <w:rPr>
                <w:rFonts w:cs="UnitOT-Light"/>
                <w:b/>
                <w:sz w:val="20"/>
                <w:szCs w:val="20"/>
              </w:rPr>
            </w:pPr>
            <w:r>
              <w:rPr>
                <w:rFonts w:cs="UnitOT-Light"/>
                <w:b/>
                <w:sz w:val="20"/>
                <w:szCs w:val="20"/>
              </w:rPr>
              <w:t>9</w:t>
            </w:r>
          </w:p>
        </w:tc>
        <w:tc>
          <w:tcPr>
            <w:tcW w:w="1247" w:type="dxa"/>
            <w:tcBorders>
              <w:top w:val="single" w:sz="4" w:space="0" w:color="0098CD"/>
              <w:left w:val="single" w:sz="4" w:space="0" w:color="0098CD"/>
              <w:bottom w:val="single" w:sz="4" w:space="0" w:color="FFFFFF"/>
              <w:right w:val="single" w:sz="4" w:space="0" w:color="FFFFFF"/>
            </w:tcBorders>
            <w:shd w:val="clear" w:color="auto" w:fill="E6F4F9"/>
            <w:hideMark/>
          </w:tcPr>
          <w:p w14:paraId="0151C663" w14:textId="618B7097" w:rsidR="00054A1F" w:rsidRDefault="009E082B" w:rsidP="000C40DD">
            <w:pPr>
              <w:jc w:val="center"/>
              <w:rPr>
                <w:rFonts w:cs="UnitOT-Light"/>
                <w:b/>
                <w:sz w:val="20"/>
                <w:szCs w:val="20"/>
              </w:rPr>
            </w:pPr>
            <w:r>
              <w:rPr>
                <w:rFonts w:cs="UnitOT-Light"/>
                <w:b/>
                <w:sz w:val="20"/>
                <w:szCs w:val="20"/>
              </w:rPr>
              <w:t>90</w:t>
            </w:r>
            <w:r w:rsidR="00054A1F">
              <w:rPr>
                <w:rFonts w:cs="UnitOT-Light"/>
                <w:b/>
                <w:sz w:val="20"/>
                <w:szCs w:val="20"/>
              </w:rPr>
              <w:t xml:space="preserve"> %</w:t>
            </w:r>
          </w:p>
        </w:tc>
      </w:tr>
    </w:tbl>
    <w:p w14:paraId="666A0430" w14:textId="77777777" w:rsidR="00982A32" w:rsidRDefault="00982A32" w:rsidP="00982A32"/>
    <w:p w14:paraId="3D6B4645" w14:textId="644CF388" w:rsidR="009E082B" w:rsidRDefault="009E082B" w:rsidP="00982A32">
      <w:r>
        <w:t xml:space="preserve">El </w:t>
      </w:r>
      <w:r w:rsidRPr="00982A32">
        <w:rPr>
          <w:b/>
          <w:bCs/>
        </w:rPr>
        <w:t>Foro de esta actividad</w:t>
      </w:r>
      <w:r>
        <w:t xml:space="preserve"> tiene un </w:t>
      </w:r>
      <w:r w:rsidRPr="00982A32">
        <w:rPr>
          <w:b/>
          <w:bCs/>
        </w:rPr>
        <w:t>peso del 10</w:t>
      </w:r>
      <w:r w:rsidR="00982A32">
        <w:rPr>
          <w:b/>
          <w:bCs/>
        </w:rPr>
        <w:t xml:space="preserve"> </w:t>
      </w:r>
      <w:r w:rsidRPr="00982A32">
        <w:rPr>
          <w:b/>
          <w:bCs/>
        </w:rPr>
        <w:t>%</w:t>
      </w:r>
      <w:r>
        <w:t xml:space="preserve">. </w:t>
      </w:r>
      <w:r w:rsidRPr="009128B1">
        <w:t xml:space="preserve">Cada grupo debe presentar un resumen del desarrollo de su trabajo en el foro de la actividad. Cada miembro debe explicar su aportación individual al grupo. Además, se requiere que cada estudiante haga al menos </w:t>
      </w:r>
      <w:r w:rsidRPr="00982A32">
        <w:rPr>
          <w:b/>
          <w:bCs/>
        </w:rPr>
        <w:t>dos sugerencias</w:t>
      </w:r>
      <w:r w:rsidRPr="009128B1">
        <w:t>, críticas o comentarios al trabajo de otros grupos.</w:t>
      </w:r>
    </w:p>
    <w:p w14:paraId="29DA5E20" w14:textId="77777777" w:rsidR="00054A1F" w:rsidRDefault="00054A1F" w:rsidP="00054A1F"/>
    <w:p w14:paraId="3959C625" w14:textId="77777777" w:rsidR="00054A1F" w:rsidRPr="00054A1F" w:rsidRDefault="00054A1F" w:rsidP="00054A1F">
      <w:pPr>
        <w:rPr>
          <w:rFonts w:cs="Calibri"/>
        </w:rPr>
      </w:pPr>
      <w:r w:rsidRPr="00054A1F">
        <w:rPr>
          <w:rFonts w:cs="Calibri"/>
        </w:rPr>
        <w:t xml:space="preserve">El cumplimiento del </w:t>
      </w:r>
      <w:r w:rsidRPr="00982A32">
        <w:rPr>
          <w:rFonts w:cs="Calibri"/>
          <w:b/>
          <w:bCs/>
        </w:rPr>
        <w:t>criterio 1 es obligatorio</w:t>
      </w:r>
      <w:r w:rsidRPr="00054A1F">
        <w:rPr>
          <w:rFonts w:cs="Calibri"/>
        </w:rPr>
        <w:t>. La no entrega de los documentos indicados supone no poder valorar la prueba y suspenderla.</w:t>
      </w:r>
    </w:p>
    <w:p w14:paraId="44134F16" w14:textId="77777777" w:rsidR="00054A1F" w:rsidRDefault="00054A1F" w:rsidP="00054A1F">
      <w:pPr>
        <w:rPr>
          <w:rFonts w:ascii="Georgia" w:hAnsi="Georgia"/>
          <w:sz w:val="22"/>
          <w:szCs w:val="22"/>
        </w:rPr>
      </w:pPr>
    </w:p>
    <w:sectPr w:rsidR="00054A1F" w:rsidSect="00086720">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55796" w14:textId="77777777" w:rsidR="00E445CA" w:rsidRDefault="00E445CA" w:rsidP="00C50246">
      <w:pPr>
        <w:spacing w:line="240" w:lineRule="auto"/>
      </w:pPr>
      <w:r>
        <w:separator/>
      </w:r>
    </w:p>
  </w:endnote>
  <w:endnote w:type="continuationSeparator" w:id="0">
    <w:p w14:paraId="5401E203" w14:textId="77777777" w:rsidR="00E445CA" w:rsidRDefault="00E445C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Segoe Script"/>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UnitOT-Bold">
    <w:panose1 w:val="020B0804030101020102"/>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A7DC5"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7FF81067" wp14:editId="6A9A49E2">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C89D7D"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386B91">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1067"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14C89D7D"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386B91">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C1156B7" wp14:editId="00388EBD">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D7BC1"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156B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30AD7BC1"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1F7E062" w14:textId="77777777"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A18FC" w14:textId="77777777" w:rsidR="00E445CA" w:rsidRDefault="00E445CA" w:rsidP="00C50246">
      <w:pPr>
        <w:spacing w:line="240" w:lineRule="auto"/>
      </w:pPr>
      <w:r>
        <w:separator/>
      </w:r>
    </w:p>
  </w:footnote>
  <w:footnote w:type="continuationSeparator" w:id="0">
    <w:p w14:paraId="2A168BB0" w14:textId="77777777" w:rsidR="00E445CA" w:rsidRDefault="00E445C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DCC4173"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7D7EAF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115ED5A3"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E368D0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3B5ADB" w:rsidRPr="00472B27" w14:paraId="0BFBC8F2" w14:textId="77777777" w:rsidTr="001924C8">
      <w:trPr>
        <w:trHeight w:val="342"/>
      </w:trPr>
      <w:tc>
        <w:tcPr>
          <w:tcW w:w="2552" w:type="dxa"/>
          <w:vMerge w:val="restart"/>
        </w:tcPr>
        <w:p w14:paraId="6FF78369" w14:textId="77777777" w:rsidR="003B5ADB" w:rsidRPr="000800D4" w:rsidRDefault="003B5ADB" w:rsidP="003B5ADB">
          <w:pPr>
            <w:pStyle w:val="Encabezado"/>
            <w:jc w:val="center"/>
            <w:rPr>
              <w:rFonts w:cs="Calibri"/>
              <w:b/>
              <w:sz w:val="22"/>
              <w:szCs w:val="22"/>
            </w:rPr>
          </w:pPr>
          <w:r w:rsidRPr="000800D4">
            <w:rPr>
              <w:rFonts w:cs="Calibri"/>
              <w:b/>
              <w:bCs/>
              <w:sz w:val="22"/>
              <w:szCs w:val="22"/>
            </w:rPr>
            <w:t>Herramienta de Visualización</w:t>
          </w:r>
        </w:p>
      </w:tc>
      <w:tc>
        <w:tcPr>
          <w:tcW w:w="3827" w:type="dxa"/>
        </w:tcPr>
        <w:p w14:paraId="05793A8D" w14:textId="77777777" w:rsidR="003B5ADB" w:rsidRPr="00472B27" w:rsidRDefault="003B5ADB" w:rsidP="003B5ADB">
          <w:pPr>
            <w:pStyle w:val="Encabezado"/>
            <w:rPr>
              <w:sz w:val="22"/>
              <w:szCs w:val="22"/>
            </w:rPr>
          </w:pPr>
          <w:r w:rsidRPr="00472B27">
            <w:rPr>
              <w:sz w:val="22"/>
              <w:szCs w:val="22"/>
            </w:rPr>
            <w:t xml:space="preserve">Apellidos: </w:t>
          </w:r>
        </w:p>
      </w:tc>
      <w:tc>
        <w:tcPr>
          <w:tcW w:w="1831" w:type="dxa"/>
          <w:vMerge w:val="restart"/>
        </w:tcPr>
        <w:p w14:paraId="16C7D9D0" w14:textId="77777777" w:rsidR="003B5ADB" w:rsidRPr="00472B27" w:rsidRDefault="003B5ADB" w:rsidP="003B5ADB">
          <w:pPr>
            <w:pStyle w:val="Encabezado"/>
            <w:jc w:val="center"/>
            <w:rPr>
              <w:rFonts w:asciiTheme="minorHAnsi" w:hAnsiTheme="minorHAnsi"/>
            </w:rPr>
          </w:pPr>
        </w:p>
      </w:tc>
    </w:tr>
    <w:tr w:rsidR="00A90972" w14:paraId="5DCD08CF" w14:textId="77777777" w:rsidTr="001924C8">
      <w:trPr>
        <w:trHeight w:val="342"/>
      </w:trPr>
      <w:tc>
        <w:tcPr>
          <w:tcW w:w="2552" w:type="dxa"/>
          <w:vMerge/>
        </w:tcPr>
        <w:p w14:paraId="5558B139" w14:textId="77777777" w:rsidR="00A90972" w:rsidRDefault="00A90972" w:rsidP="00A90972">
          <w:pPr>
            <w:pStyle w:val="Encabezado"/>
          </w:pPr>
        </w:p>
      </w:tc>
      <w:tc>
        <w:tcPr>
          <w:tcW w:w="3827" w:type="dxa"/>
        </w:tcPr>
        <w:p w14:paraId="4693B238"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2B28F85E" w14:textId="77777777" w:rsidR="00A90972" w:rsidRDefault="00A90972" w:rsidP="00A90972">
          <w:pPr>
            <w:pStyle w:val="Encabezado"/>
          </w:pPr>
        </w:p>
      </w:tc>
    </w:tr>
  </w:tbl>
  <w:p w14:paraId="1DD7E529"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0A1"/>
    <w:multiLevelType w:val="multilevel"/>
    <w:tmpl w:val="FCB6914A"/>
    <w:numStyleLink w:val="VietasUNIRcombinada"/>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CD20CC7"/>
    <w:multiLevelType w:val="hybridMultilevel"/>
    <w:tmpl w:val="C99E4A6C"/>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1BD3D42"/>
    <w:multiLevelType w:val="hybridMultilevel"/>
    <w:tmpl w:val="D1A413B0"/>
    <w:lvl w:ilvl="0" w:tplc="828CBADA">
      <w:start w:val="1"/>
      <w:numFmt w:val="decimal"/>
      <w:lvlText w:val="%1."/>
      <w:lvlJc w:val="left"/>
      <w:pPr>
        <w:ind w:left="1429" w:hanging="72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 w15:restartNumberingAfterBreak="0">
    <w:nsid w:val="15BA37EB"/>
    <w:multiLevelType w:val="multilevel"/>
    <w:tmpl w:val="B37C3B20"/>
    <w:numStyleLink w:val="VietasUNIR"/>
  </w:abstractNum>
  <w:abstractNum w:abstractNumId="8" w15:restartNumberingAfterBreak="0">
    <w:nsid w:val="17FF37D8"/>
    <w:multiLevelType w:val="multilevel"/>
    <w:tmpl w:val="B0E0186E"/>
    <w:numStyleLink w:val="NmeracinTest"/>
  </w:abstractNum>
  <w:abstractNum w:abstractNumId="9" w15:restartNumberingAfterBreak="0">
    <w:nsid w:val="19032AB4"/>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24713DCA"/>
    <w:multiLevelType w:val="hybridMultilevel"/>
    <w:tmpl w:val="51DE066C"/>
    <w:lvl w:ilvl="0" w:tplc="B77A631A">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2" w15:restartNumberingAfterBreak="0">
    <w:nsid w:val="29F96D81"/>
    <w:multiLevelType w:val="hybridMultilevel"/>
    <w:tmpl w:val="89F88C86"/>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DD50359"/>
    <w:multiLevelType w:val="multilevel"/>
    <w:tmpl w:val="B37C3B20"/>
    <w:numStyleLink w:val="VietasUNIR"/>
  </w:abstractNum>
  <w:abstractNum w:abstractNumId="14" w15:restartNumberingAfterBreak="0">
    <w:nsid w:val="2F44040C"/>
    <w:multiLevelType w:val="hybridMultilevel"/>
    <w:tmpl w:val="C52492DA"/>
    <w:lvl w:ilvl="0" w:tplc="B7326C88">
      <w:numFmt w:val="bullet"/>
      <w:lvlText w:val="-"/>
      <w:lvlJc w:val="left"/>
      <w:pPr>
        <w:ind w:left="720" w:hanging="360"/>
      </w:pPr>
      <w:rPr>
        <w:rFonts w:ascii="Georgia" w:eastAsia="Times New Roman"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6A19DD"/>
    <w:multiLevelType w:val="multilevel"/>
    <w:tmpl w:val="FCB6914A"/>
    <w:numStyleLink w:val="VietasUNIRcombinada"/>
  </w:abstractNum>
  <w:abstractNum w:abstractNumId="16"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314134D7"/>
    <w:multiLevelType w:val="multilevel"/>
    <w:tmpl w:val="B37C3B20"/>
    <w:numStyleLink w:val="VietasUNIR"/>
  </w:abstractNum>
  <w:abstractNum w:abstractNumId="18" w15:restartNumberingAfterBreak="0">
    <w:nsid w:val="31C63678"/>
    <w:multiLevelType w:val="multilevel"/>
    <w:tmpl w:val="B0E0186E"/>
    <w:numStyleLink w:val="NmeracinTest"/>
  </w:abstractNum>
  <w:abstractNum w:abstractNumId="19" w15:restartNumberingAfterBreak="0">
    <w:nsid w:val="374D34AD"/>
    <w:multiLevelType w:val="multilevel"/>
    <w:tmpl w:val="B37C3B20"/>
    <w:numStyleLink w:val="VietasUNIR"/>
  </w:abstractNum>
  <w:abstractNum w:abstractNumId="20" w15:restartNumberingAfterBreak="0">
    <w:nsid w:val="3798755D"/>
    <w:multiLevelType w:val="multilevel"/>
    <w:tmpl w:val="B37C3B20"/>
    <w:numStyleLink w:val="VietasUNIR"/>
  </w:abstractNum>
  <w:abstractNum w:abstractNumId="21"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4BD43849"/>
    <w:multiLevelType w:val="hybridMultilevel"/>
    <w:tmpl w:val="ED264C3E"/>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E26EC1"/>
    <w:multiLevelType w:val="multilevel"/>
    <w:tmpl w:val="FCB6914A"/>
    <w:numStyleLink w:val="VietasUNIRcombinada"/>
  </w:abstractNum>
  <w:abstractNum w:abstractNumId="24" w15:restartNumberingAfterBreak="0">
    <w:nsid w:val="4D255449"/>
    <w:multiLevelType w:val="multilevel"/>
    <w:tmpl w:val="B37C3B20"/>
    <w:numStyleLink w:val="VietasUNIR"/>
  </w:abstractNum>
  <w:abstractNum w:abstractNumId="25" w15:restartNumberingAfterBreak="0">
    <w:nsid w:val="542B3590"/>
    <w:multiLevelType w:val="hybridMultilevel"/>
    <w:tmpl w:val="2A160A1E"/>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3E5B90"/>
    <w:multiLevelType w:val="multilevel"/>
    <w:tmpl w:val="B0E0186E"/>
    <w:numStyleLink w:val="NmeracinTest"/>
  </w:abstractNum>
  <w:abstractNum w:abstractNumId="2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3FF70FB"/>
    <w:multiLevelType w:val="hybridMultilevel"/>
    <w:tmpl w:val="429EF2D8"/>
    <w:lvl w:ilvl="0" w:tplc="B7326C88">
      <w:numFmt w:val="bullet"/>
      <w:lvlText w:val="-"/>
      <w:lvlJc w:val="left"/>
      <w:pPr>
        <w:ind w:left="720" w:hanging="360"/>
      </w:pPr>
      <w:rPr>
        <w:rFonts w:ascii="Georgia" w:eastAsia="Times New Roman"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060835"/>
    <w:multiLevelType w:val="hybridMultilevel"/>
    <w:tmpl w:val="18B0813C"/>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4FE27F7"/>
    <w:multiLevelType w:val="hybridMultilevel"/>
    <w:tmpl w:val="EBC6D0BA"/>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74218A6"/>
    <w:multiLevelType w:val="multilevel"/>
    <w:tmpl w:val="B37C3B20"/>
    <w:numStyleLink w:val="VietasUNIR"/>
  </w:abstractNum>
  <w:abstractNum w:abstractNumId="32" w15:restartNumberingAfterBreak="0">
    <w:nsid w:val="68857298"/>
    <w:multiLevelType w:val="multilevel"/>
    <w:tmpl w:val="FCB6914A"/>
    <w:numStyleLink w:val="VietasUNIRcombinada"/>
  </w:abstractNum>
  <w:abstractNum w:abstractNumId="33" w15:restartNumberingAfterBreak="0">
    <w:nsid w:val="68EB5908"/>
    <w:multiLevelType w:val="multilevel"/>
    <w:tmpl w:val="B37C3B20"/>
    <w:numStyleLink w:val="VietasUNIR"/>
  </w:abstractNum>
  <w:abstractNum w:abstractNumId="34" w15:restartNumberingAfterBreak="0">
    <w:nsid w:val="696D4E49"/>
    <w:multiLevelType w:val="hybridMultilevel"/>
    <w:tmpl w:val="96085B78"/>
    <w:lvl w:ilvl="0" w:tplc="0C0A000F">
      <w:start w:val="1"/>
      <w:numFmt w:val="decimal"/>
      <w:lvlText w:val="%1."/>
      <w:lvlJc w:val="left"/>
      <w:pPr>
        <w:ind w:left="360" w:hanging="360"/>
      </w:pPr>
      <w:rPr>
        <w:rFonts w:hint="default"/>
        <w:b w:val="0"/>
        <w:i w:val="0"/>
        <w:color w:val="336699"/>
        <w:sz w:val="22"/>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6E866C29"/>
    <w:multiLevelType w:val="hybridMultilevel"/>
    <w:tmpl w:val="5F4EC6C2"/>
    <w:lvl w:ilvl="0" w:tplc="18A26114">
      <w:start w:val="1"/>
      <w:numFmt w:val="bullet"/>
      <w:lvlText w:val="▸"/>
      <w:lvlJc w:val="left"/>
      <w:pPr>
        <w:ind w:left="1429" w:hanging="720"/>
      </w:pPr>
      <w:rPr>
        <w:rFonts w:ascii="UnitOT" w:hAnsi="UnitOT" w:hint="default"/>
        <w:color w:val="00B0F0"/>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38" w15:restartNumberingAfterBreak="0">
    <w:nsid w:val="6FEE42CB"/>
    <w:multiLevelType w:val="multilevel"/>
    <w:tmpl w:val="FCB6914A"/>
    <w:numStyleLink w:val="VietasUNIRcombinada"/>
  </w:abstractNum>
  <w:abstractNum w:abstractNumId="39" w15:restartNumberingAfterBreak="0">
    <w:nsid w:val="746B7352"/>
    <w:multiLevelType w:val="hybridMultilevel"/>
    <w:tmpl w:val="7414A3F0"/>
    <w:lvl w:ilvl="0" w:tplc="A770FEEE">
      <w:start w:val="1"/>
      <w:numFmt w:val="decimal"/>
      <w:lvlText w:val="%1."/>
      <w:lvlJc w:val="left"/>
      <w:pPr>
        <w:ind w:left="1429" w:hanging="72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0" w15:restartNumberingAfterBreak="0">
    <w:nsid w:val="7D254355"/>
    <w:multiLevelType w:val="multilevel"/>
    <w:tmpl w:val="B37C3B20"/>
    <w:numStyleLink w:val="VietasUNIR"/>
  </w:abstractNum>
  <w:abstractNum w:abstractNumId="4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9"/>
  </w:num>
  <w:num w:numId="3">
    <w:abstractNumId w:val="40"/>
  </w:num>
  <w:num w:numId="4">
    <w:abstractNumId w:val="20"/>
  </w:num>
  <w:num w:numId="5">
    <w:abstractNumId w:val="10"/>
  </w:num>
  <w:num w:numId="6">
    <w:abstractNumId w:val="5"/>
  </w:num>
  <w:num w:numId="7">
    <w:abstractNumId w:val="27"/>
  </w:num>
  <w:num w:numId="8">
    <w:abstractNumId w:val="9"/>
  </w:num>
  <w:num w:numId="9">
    <w:abstractNumId w:val="35"/>
  </w:num>
  <w:num w:numId="10">
    <w:abstractNumId w:val="2"/>
  </w:num>
  <w:num w:numId="11">
    <w:abstractNumId w:val="41"/>
  </w:num>
  <w:num w:numId="12">
    <w:abstractNumId w:val="4"/>
  </w:num>
  <w:num w:numId="13">
    <w:abstractNumId w:val="16"/>
  </w:num>
  <w:num w:numId="14">
    <w:abstractNumId w:val="18"/>
  </w:num>
  <w:num w:numId="15">
    <w:abstractNumId w:val="33"/>
  </w:num>
  <w:num w:numId="16">
    <w:abstractNumId w:val="24"/>
  </w:num>
  <w:num w:numId="17">
    <w:abstractNumId w:val="17"/>
  </w:num>
  <w:num w:numId="18">
    <w:abstractNumId w:val="36"/>
  </w:num>
  <w:num w:numId="19">
    <w:abstractNumId w:val="7"/>
  </w:num>
  <w:num w:numId="20">
    <w:abstractNumId w:val="15"/>
  </w:num>
  <w:num w:numId="21">
    <w:abstractNumId w:val="23"/>
  </w:num>
  <w:num w:numId="22">
    <w:abstractNumId w:val="13"/>
  </w:num>
  <w:num w:numId="23">
    <w:abstractNumId w:val="8"/>
  </w:num>
  <w:num w:numId="24">
    <w:abstractNumId w:val="0"/>
  </w:num>
  <w:num w:numId="25">
    <w:abstractNumId w:val="31"/>
  </w:num>
  <w:num w:numId="26">
    <w:abstractNumId w:val="21"/>
  </w:num>
  <w:num w:numId="27">
    <w:abstractNumId w:val="39"/>
  </w:num>
  <w:num w:numId="28">
    <w:abstractNumId w:val="6"/>
  </w:num>
  <w:num w:numId="29">
    <w:abstractNumId w:val="11"/>
  </w:num>
  <w:num w:numId="30">
    <w:abstractNumId w:val="22"/>
  </w:num>
  <w:num w:numId="31">
    <w:abstractNumId w:val="25"/>
  </w:num>
  <w:num w:numId="32">
    <w:abstractNumId w:val="37"/>
  </w:num>
  <w:num w:numId="33">
    <w:abstractNumId w:val="34"/>
  </w:num>
  <w:num w:numId="34">
    <w:abstractNumId w:val="14"/>
  </w:num>
  <w:num w:numId="35">
    <w:abstractNumId w:val="28"/>
  </w:num>
  <w:num w:numId="36">
    <w:abstractNumId w:val="21"/>
  </w:num>
  <w:num w:numId="37">
    <w:abstractNumId w:val="26"/>
  </w:num>
  <w:num w:numId="38">
    <w:abstractNumId w:val="38"/>
  </w:num>
  <w:num w:numId="39">
    <w:abstractNumId w:val="29"/>
  </w:num>
  <w:num w:numId="40">
    <w:abstractNumId w:val="12"/>
  </w:num>
  <w:num w:numId="41">
    <w:abstractNumId w:val="21"/>
  </w:num>
  <w:num w:numId="42">
    <w:abstractNumId w:val="32"/>
  </w:num>
  <w:num w:numId="43">
    <w:abstractNumId w:val="3"/>
  </w:num>
  <w:num w:numId="44">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35329"/>
    <w:rsid w:val="000458EE"/>
    <w:rsid w:val="0005157B"/>
    <w:rsid w:val="0005178B"/>
    <w:rsid w:val="00054229"/>
    <w:rsid w:val="00054A1F"/>
    <w:rsid w:val="00055C12"/>
    <w:rsid w:val="00056A2A"/>
    <w:rsid w:val="0005762B"/>
    <w:rsid w:val="00076A78"/>
    <w:rsid w:val="000800D4"/>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06416"/>
    <w:rsid w:val="00112B38"/>
    <w:rsid w:val="001154FF"/>
    <w:rsid w:val="00137CF9"/>
    <w:rsid w:val="00161226"/>
    <w:rsid w:val="00163FBB"/>
    <w:rsid w:val="001658DF"/>
    <w:rsid w:val="0018281D"/>
    <w:rsid w:val="0018310A"/>
    <w:rsid w:val="00191C30"/>
    <w:rsid w:val="0019470A"/>
    <w:rsid w:val="00194B1F"/>
    <w:rsid w:val="00196EB1"/>
    <w:rsid w:val="001B64D3"/>
    <w:rsid w:val="001B7F82"/>
    <w:rsid w:val="001C1813"/>
    <w:rsid w:val="001D0997"/>
    <w:rsid w:val="001D57EA"/>
    <w:rsid w:val="001E38BB"/>
    <w:rsid w:val="001E6766"/>
    <w:rsid w:val="001E737A"/>
    <w:rsid w:val="001F017C"/>
    <w:rsid w:val="001F1229"/>
    <w:rsid w:val="001F163E"/>
    <w:rsid w:val="001F19FD"/>
    <w:rsid w:val="001F69FE"/>
    <w:rsid w:val="00200BEB"/>
    <w:rsid w:val="0020102E"/>
    <w:rsid w:val="00202438"/>
    <w:rsid w:val="002036CA"/>
    <w:rsid w:val="002039FC"/>
    <w:rsid w:val="0020408F"/>
    <w:rsid w:val="0021511C"/>
    <w:rsid w:val="0021698A"/>
    <w:rsid w:val="002244C2"/>
    <w:rsid w:val="00227368"/>
    <w:rsid w:val="00227800"/>
    <w:rsid w:val="002309E8"/>
    <w:rsid w:val="00244B66"/>
    <w:rsid w:val="0024674E"/>
    <w:rsid w:val="00250A71"/>
    <w:rsid w:val="00253DA9"/>
    <w:rsid w:val="00260B21"/>
    <w:rsid w:val="002619F8"/>
    <w:rsid w:val="00265403"/>
    <w:rsid w:val="00265998"/>
    <w:rsid w:val="00273725"/>
    <w:rsid w:val="002741FD"/>
    <w:rsid w:val="00277FAF"/>
    <w:rsid w:val="002845C6"/>
    <w:rsid w:val="002A3C60"/>
    <w:rsid w:val="002A6286"/>
    <w:rsid w:val="002B3A8C"/>
    <w:rsid w:val="002B4308"/>
    <w:rsid w:val="002B5D04"/>
    <w:rsid w:val="002C037B"/>
    <w:rsid w:val="002C34D9"/>
    <w:rsid w:val="002C467C"/>
    <w:rsid w:val="002C64FB"/>
    <w:rsid w:val="002D3237"/>
    <w:rsid w:val="002E198B"/>
    <w:rsid w:val="002E6FCB"/>
    <w:rsid w:val="002E769A"/>
    <w:rsid w:val="002F0296"/>
    <w:rsid w:val="002F76B0"/>
    <w:rsid w:val="00302FF8"/>
    <w:rsid w:val="003117D6"/>
    <w:rsid w:val="00320378"/>
    <w:rsid w:val="003224A0"/>
    <w:rsid w:val="003251DE"/>
    <w:rsid w:val="00327C72"/>
    <w:rsid w:val="00330DE5"/>
    <w:rsid w:val="003369FB"/>
    <w:rsid w:val="0034363F"/>
    <w:rsid w:val="00343785"/>
    <w:rsid w:val="00351EC2"/>
    <w:rsid w:val="0035352C"/>
    <w:rsid w:val="00361683"/>
    <w:rsid w:val="0036355F"/>
    <w:rsid w:val="003638D4"/>
    <w:rsid w:val="00363DED"/>
    <w:rsid w:val="00386B91"/>
    <w:rsid w:val="00394A34"/>
    <w:rsid w:val="003A10AB"/>
    <w:rsid w:val="003B5ADB"/>
    <w:rsid w:val="003C2275"/>
    <w:rsid w:val="003C4D34"/>
    <w:rsid w:val="003D0269"/>
    <w:rsid w:val="003D141E"/>
    <w:rsid w:val="003D16DC"/>
    <w:rsid w:val="003D5F24"/>
    <w:rsid w:val="003E2E18"/>
    <w:rsid w:val="003E6E97"/>
    <w:rsid w:val="00411592"/>
    <w:rsid w:val="0041334B"/>
    <w:rsid w:val="00413379"/>
    <w:rsid w:val="00414382"/>
    <w:rsid w:val="004172DF"/>
    <w:rsid w:val="004409DC"/>
    <w:rsid w:val="00443C84"/>
    <w:rsid w:val="00446F8B"/>
    <w:rsid w:val="00447658"/>
    <w:rsid w:val="004476D3"/>
    <w:rsid w:val="004478AD"/>
    <w:rsid w:val="00455BA7"/>
    <w:rsid w:val="004567F9"/>
    <w:rsid w:val="00466671"/>
    <w:rsid w:val="00472B27"/>
    <w:rsid w:val="00497084"/>
    <w:rsid w:val="004A1A48"/>
    <w:rsid w:val="004B3870"/>
    <w:rsid w:val="004B7249"/>
    <w:rsid w:val="004D4F93"/>
    <w:rsid w:val="004D7402"/>
    <w:rsid w:val="004E1547"/>
    <w:rsid w:val="004E5487"/>
    <w:rsid w:val="004F1492"/>
    <w:rsid w:val="004F5D83"/>
    <w:rsid w:val="0050234E"/>
    <w:rsid w:val="005050A0"/>
    <w:rsid w:val="00507E5B"/>
    <w:rsid w:val="005131BE"/>
    <w:rsid w:val="00525591"/>
    <w:rsid w:val="005326C2"/>
    <w:rsid w:val="00533FD9"/>
    <w:rsid w:val="005352B1"/>
    <w:rsid w:val="005366C0"/>
    <w:rsid w:val="005463ED"/>
    <w:rsid w:val="00551A69"/>
    <w:rsid w:val="00552D7A"/>
    <w:rsid w:val="00555B62"/>
    <w:rsid w:val="00575580"/>
    <w:rsid w:val="00575F57"/>
    <w:rsid w:val="0058112D"/>
    <w:rsid w:val="005C1D3F"/>
    <w:rsid w:val="005E0B6D"/>
    <w:rsid w:val="005E6742"/>
    <w:rsid w:val="005F240A"/>
    <w:rsid w:val="005F2851"/>
    <w:rsid w:val="00603AE9"/>
    <w:rsid w:val="00606EDF"/>
    <w:rsid w:val="00611689"/>
    <w:rsid w:val="00613DB8"/>
    <w:rsid w:val="0061405E"/>
    <w:rsid w:val="00616D62"/>
    <w:rsid w:val="00620388"/>
    <w:rsid w:val="006223FA"/>
    <w:rsid w:val="006227CB"/>
    <w:rsid w:val="006311BF"/>
    <w:rsid w:val="00641F05"/>
    <w:rsid w:val="006467F9"/>
    <w:rsid w:val="0065243B"/>
    <w:rsid w:val="00656B43"/>
    <w:rsid w:val="006613F9"/>
    <w:rsid w:val="00664F67"/>
    <w:rsid w:val="0066551B"/>
    <w:rsid w:val="006825B0"/>
    <w:rsid w:val="006834BF"/>
    <w:rsid w:val="0069794C"/>
    <w:rsid w:val="006A210E"/>
    <w:rsid w:val="006A3F4E"/>
    <w:rsid w:val="006B0946"/>
    <w:rsid w:val="006B683F"/>
    <w:rsid w:val="006C52A0"/>
    <w:rsid w:val="006C7BB7"/>
    <w:rsid w:val="006D1870"/>
    <w:rsid w:val="006E3957"/>
    <w:rsid w:val="006F1F32"/>
    <w:rsid w:val="006F7317"/>
    <w:rsid w:val="006F79F1"/>
    <w:rsid w:val="0070266F"/>
    <w:rsid w:val="00702914"/>
    <w:rsid w:val="00703B95"/>
    <w:rsid w:val="0070534B"/>
    <w:rsid w:val="00710277"/>
    <w:rsid w:val="00710750"/>
    <w:rsid w:val="00711B4D"/>
    <w:rsid w:val="00712024"/>
    <w:rsid w:val="0072465C"/>
    <w:rsid w:val="00732FC1"/>
    <w:rsid w:val="00736798"/>
    <w:rsid w:val="0073726F"/>
    <w:rsid w:val="00744D29"/>
    <w:rsid w:val="00745244"/>
    <w:rsid w:val="00756CD6"/>
    <w:rsid w:val="007616AA"/>
    <w:rsid w:val="00790FC0"/>
    <w:rsid w:val="007A0245"/>
    <w:rsid w:val="007A34FD"/>
    <w:rsid w:val="007B15E7"/>
    <w:rsid w:val="007C0189"/>
    <w:rsid w:val="007C1E0E"/>
    <w:rsid w:val="007C2659"/>
    <w:rsid w:val="007C4F3C"/>
    <w:rsid w:val="007D00F6"/>
    <w:rsid w:val="007D1B3E"/>
    <w:rsid w:val="007D1E15"/>
    <w:rsid w:val="007E4840"/>
    <w:rsid w:val="007E5D27"/>
    <w:rsid w:val="007F584B"/>
    <w:rsid w:val="007F691E"/>
    <w:rsid w:val="0080425D"/>
    <w:rsid w:val="008103F6"/>
    <w:rsid w:val="00816222"/>
    <w:rsid w:val="00816578"/>
    <w:rsid w:val="00823702"/>
    <w:rsid w:val="00824C6E"/>
    <w:rsid w:val="00824D80"/>
    <w:rsid w:val="00824F89"/>
    <w:rsid w:val="00826A4C"/>
    <w:rsid w:val="0083178B"/>
    <w:rsid w:val="00834DD5"/>
    <w:rsid w:val="0083542E"/>
    <w:rsid w:val="0083582D"/>
    <w:rsid w:val="00845825"/>
    <w:rsid w:val="00845D5C"/>
    <w:rsid w:val="008658E8"/>
    <w:rsid w:val="00866EC2"/>
    <w:rsid w:val="008745E4"/>
    <w:rsid w:val="008807AF"/>
    <w:rsid w:val="0088459B"/>
    <w:rsid w:val="0088508D"/>
    <w:rsid w:val="00885FCA"/>
    <w:rsid w:val="00893E73"/>
    <w:rsid w:val="00894048"/>
    <w:rsid w:val="008A0AF5"/>
    <w:rsid w:val="008B16BB"/>
    <w:rsid w:val="008B6154"/>
    <w:rsid w:val="008C08DE"/>
    <w:rsid w:val="008C09DB"/>
    <w:rsid w:val="008D2E81"/>
    <w:rsid w:val="008D4D4B"/>
    <w:rsid w:val="008E1670"/>
    <w:rsid w:val="008F0709"/>
    <w:rsid w:val="008F1A94"/>
    <w:rsid w:val="008F1E4C"/>
    <w:rsid w:val="00917348"/>
    <w:rsid w:val="00935FD2"/>
    <w:rsid w:val="009400C5"/>
    <w:rsid w:val="009434C7"/>
    <w:rsid w:val="009435B5"/>
    <w:rsid w:val="00952EDA"/>
    <w:rsid w:val="0095328C"/>
    <w:rsid w:val="009546DA"/>
    <w:rsid w:val="009563DF"/>
    <w:rsid w:val="00962EC2"/>
    <w:rsid w:val="00976D1B"/>
    <w:rsid w:val="0098228A"/>
    <w:rsid w:val="00982A32"/>
    <w:rsid w:val="009848BD"/>
    <w:rsid w:val="00987B51"/>
    <w:rsid w:val="009959A6"/>
    <w:rsid w:val="009A1065"/>
    <w:rsid w:val="009A3C7C"/>
    <w:rsid w:val="009A4CF7"/>
    <w:rsid w:val="009B0764"/>
    <w:rsid w:val="009B28C5"/>
    <w:rsid w:val="009B61E5"/>
    <w:rsid w:val="009C1CA9"/>
    <w:rsid w:val="009C2BF3"/>
    <w:rsid w:val="009D10D7"/>
    <w:rsid w:val="009D1701"/>
    <w:rsid w:val="009D6A63"/>
    <w:rsid w:val="009D6F1F"/>
    <w:rsid w:val="009E082B"/>
    <w:rsid w:val="009E76FD"/>
    <w:rsid w:val="009F18E9"/>
    <w:rsid w:val="009F7B85"/>
    <w:rsid w:val="00A03C7F"/>
    <w:rsid w:val="00A11475"/>
    <w:rsid w:val="00A16761"/>
    <w:rsid w:val="00A17600"/>
    <w:rsid w:val="00A20F71"/>
    <w:rsid w:val="00A22179"/>
    <w:rsid w:val="00A4761C"/>
    <w:rsid w:val="00A60E8D"/>
    <w:rsid w:val="00A67DBC"/>
    <w:rsid w:val="00A71D6D"/>
    <w:rsid w:val="00A76AA2"/>
    <w:rsid w:val="00A76D45"/>
    <w:rsid w:val="00A7775F"/>
    <w:rsid w:val="00A90972"/>
    <w:rsid w:val="00A9140C"/>
    <w:rsid w:val="00AA1E9C"/>
    <w:rsid w:val="00AB2DE2"/>
    <w:rsid w:val="00AB3C01"/>
    <w:rsid w:val="00AD4F85"/>
    <w:rsid w:val="00AE4377"/>
    <w:rsid w:val="00B0196C"/>
    <w:rsid w:val="00B03326"/>
    <w:rsid w:val="00B04AF8"/>
    <w:rsid w:val="00B0793D"/>
    <w:rsid w:val="00B1656E"/>
    <w:rsid w:val="00B218E8"/>
    <w:rsid w:val="00B22F15"/>
    <w:rsid w:val="00B407F7"/>
    <w:rsid w:val="00B417CD"/>
    <w:rsid w:val="00B5528F"/>
    <w:rsid w:val="00B55BF7"/>
    <w:rsid w:val="00B72D4C"/>
    <w:rsid w:val="00B8087F"/>
    <w:rsid w:val="00B814A5"/>
    <w:rsid w:val="00B832A5"/>
    <w:rsid w:val="00B86981"/>
    <w:rsid w:val="00B96994"/>
    <w:rsid w:val="00BA14FF"/>
    <w:rsid w:val="00BA172C"/>
    <w:rsid w:val="00BA17EF"/>
    <w:rsid w:val="00BA4F93"/>
    <w:rsid w:val="00BB1161"/>
    <w:rsid w:val="00BB56FC"/>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559"/>
    <w:rsid w:val="00C67873"/>
    <w:rsid w:val="00C7223C"/>
    <w:rsid w:val="00C8543E"/>
    <w:rsid w:val="00C870D5"/>
    <w:rsid w:val="00C876E4"/>
    <w:rsid w:val="00C92BE5"/>
    <w:rsid w:val="00C9773A"/>
    <w:rsid w:val="00CC22FD"/>
    <w:rsid w:val="00CD7181"/>
    <w:rsid w:val="00CF0FA6"/>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6006A"/>
    <w:rsid w:val="00D723DB"/>
    <w:rsid w:val="00D72684"/>
    <w:rsid w:val="00D74F0A"/>
    <w:rsid w:val="00D771BD"/>
    <w:rsid w:val="00D901FA"/>
    <w:rsid w:val="00D95965"/>
    <w:rsid w:val="00DA1A7B"/>
    <w:rsid w:val="00DA4A6D"/>
    <w:rsid w:val="00DA6FF8"/>
    <w:rsid w:val="00DB4BD9"/>
    <w:rsid w:val="00DB5335"/>
    <w:rsid w:val="00DC3808"/>
    <w:rsid w:val="00DD0B32"/>
    <w:rsid w:val="00DD2649"/>
    <w:rsid w:val="00DD6805"/>
    <w:rsid w:val="00DE4822"/>
    <w:rsid w:val="00DF0BC0"/>
    <w:rsid w:val="00DF784B"/>
    <w:rsid w:val="00E144E3"/>
    <w:rsid w:val="00E170B6"/>
    <w:rsid w:val="00E2314E"/>
    <w:rsid w:val="00E242DC"/>
    <w:rsid w:val="00E300D2"/>
    <w:rsid w:val="00E33B13"/>
    <w:rsid w:val="00E445CA"/>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09EB"/>
    <w:rsid w:val="00EB17CF"/>
    <w:rsid w:val="00EB5FE2"/>
    <w:rsid w:val="00EC2261"/>
    <w:rsid w:val="00EC4F65"/>
    <w:rsid w:val="00EC5B06"/>
    <w:rsid w:val="00EC60F0"/>
    <w:rsid w:val="00ED3160"/>
    <w:rsid w:val="00ED4557"/>
    <w:rsid w:val="00ED4A4F"/>
    <w:rsid w:val="00ED56EF"/>
    <w:rsid w:val="00ED6BDC"/>
    <w:rsid w:val="00EE3286"/>
    <w:rsid w:val="00EE6C97"/>
    <w:rsid w:val="00F0370C"/>
    <w:rsid w:val="00F053D2"/>
    <w:rsid w:val="00F05C99"/>
    <w:rsid w:val="00F12301"/>
    <w:rsid w:val="00F12EE5"/>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6F12"/>
    <w:rsid w:val="00F77A3B"/>
    <w:rsid w:val="00FA5FF9"/>
    <w:rsid w:val="00FB0A6F"/>
    <w:rsid w:val="00FC3B3F"/>
    <w:rsid w:val="00FC582A"/>
    <w:rsid w:val="00FD1A84"/>
    <w:rsid w:val="00FD37D9"/>
    <w:rsid w:val="00FD6625"/>
    <w:rsid w:val="00FD7A4E"/>
    <w:rsid w:val="00FE65DA"/>
    <w:rsid w:val="00FF250A"/>
    <w:rsid w:val="00FF34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79F80"/>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iPriority="0"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rsid w:val="00D30434"/>
    <w:rPr>
      <w:rFonts w:ascii="UnitOT-Light" w:hAnsi="UnitOT-Light" w:cs="Times New Roman"/>
      <w:color w:val="333333"/>
      <w:szCs w:val="24"/>
      <w:lang w:eastAsia="es-ES"/>
    </w:rPr>
  </w:style>
  <w:style w:type="paragraph" w:styleId="Piedepgina">
    <w:name w:val="footer"/>
    <w:basedOn w:val="Normal"/>
    <w:link w:val="PiedepginaCar"/>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VerbatimChar">
    <w:name w:val="Verbatim Char"/>
    <w:basedOn w:val="Fuentedeprrafopredeter"/>
    <w:link w:val="SourceCode"/>
    <w:rsid w:val="006834BF"/>
    <w:rPr>
      <w:rFonts w:ascii="Consolas" w:hAnsi="Consolas"/>
    </w:rPr>
  </w:style>
  <w:style w:type="paragraph" w:customStyle="1" w:styleId="SourceCode">
    <w:name w:val="Source Code"/>
    <w:basedOn w:val="Normal"/>
    <w:link w:val="VerbatimChar"/>
    <w:rsid w:val="006834BF"/>
    <w:pPr>
      <w:wordWrap w:val="0"/>
      <w:spacing w:after="200" w:line="240" w:lineRule="auto"/>
      <w:jc w:val="left"/>
    </w:pPr>
    <w:rPr>
      <w:rFonts w:ascii="Consolas" w:hAnsi="Consolas" w:cstheme="minorBidi"/>
      <w:color w:val="auto"/>
      <w:sz w:val="22"/>
      <w:szCs w:val="22"/>
      <w:lang w:eastAsia="en-US"/>
    </w:rPr>
  </w:style>
  <w:style w:type="paragraph" w:styleId="Textoindependiente">
    <w:name w:val="Body Text"/>
    <w:basedOn w:val="Normal"/>
    <w:link w:val="TextoindependienteCar"/>
    <w:uiPriority w:val="99"/>
    <w:semiHidden/>
    <w:unhideWhenUsed/>
    <w:rsid w:val="006834BF"/>
    <w:pPr>
      <w:spacing w:after="120"/>
    </w:pPr>
  </w:style>
  <w:style w:type="character" w:customStyle="1" w:styleId="TextoindependienteCar">
    <w:name w:val="Texto independiente Car"/>
    <w:basedOn w:val="Fuentedeprrafopredeter"/>
    <w:link w:val="Textoindependiente"/>
    <w:uiPriority w:val="99"/>
    <w:semiHidden/>
    <w:rsid w:val="006834BF"/>
    <w:rPr>
      <w:rFonts w:ascii="Calibri" w:hAnsi="Calibri" w:cs="Times New Roman"/>
      <w:color w:val="333333"/>
      <w:sz w:val="24"/>
      <w:szCs w:val="24"/>
      <w:lang w:eastAsia="es-ES"/>
    </w:rPr>
  </w:style>
  <w:style w:type="table" w:customStyle="1" w:styleId="Tabladecuadrcula5oscura-nfasis51">
    <w:name w:val="Tabla de cuadrícula 5 oscura - Énfasis 51"/>
    <w:basedOn w:val="Tablanormal"/>
    <w:uiPriority w:val="50"/>
    <w:rsid w:val="00606E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CF0FA6"/>
    <w:rPr>
      <w:b/>
      <w:bCs/>
      <w:color w:val="027BA6"/>
      <w:sz w:val="18"/>
      <w:szCs w:val="18"/>
    </w:rPr>
  </w:style>
  <w:style w:type="character" w:customStyle="1" w:styleId="Mencinsinresolver1">
    <w:name w:val="Mención sin resolver1"/>
    <w:basedOn w:val="Fuentedeprrafopredeter"/>
    <w:uiPriority w:val="99"/>
    <w:semiHidden/>
    <w:unhideWhenUsed/>
    <w:rsid w:val="00575F57"/>
    <w:rPr>
      <w:color w:val="605E5C"/>
      <w:shd w:val="clear" w:color="auto" w:fill="E1DFDD"/>
    </w:rPr>
  </w:style>
  <w:style w:type="paragraph" w:customStyle="1" w:styleId="texto">
    <w:name w:val="texto"/>
    <w:basedOn w:val="Normal"/>
    <w:rsid w:val="003B5ADB"/>
    <w:pPr>
      <w:spacing w:before="100" w:beforeAutospacing="1" w:after="100" w:afterAutospacing="1" w:line="240" w:lineRule="auto"/>
      <w:jc w:val="left"/>
    </w:pPr>
    <w:rPr>
      <w:rFonts w:ascii="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pdata.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B48F64-52FC-4AF4-BED0-8FE5BE26619B}">
  <ds:schemaRefs>
    <ds:schemaRef ds:uri="http://schemas.microsoft.com/sharepoint/v3/contenttype/forms"/>
  </ds:schemaRefs>
</ds:datastoreItem>
</file>

<file path=customXml/itemProps2.xml><?xml version="1.0" encoding="utf-8"?>
<ds:datastoreItem xmlns:ds="http://schemas.openxmlformats.org/officeDocument/2006/customXml" ds:itemID="{D9FBC9DA-7A6B-468E-86C0-BCE87711C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540EAE-C9F0-4A96-B339-C068784B04FC}">
  <ds:schemaRefs>
    <ds:schemaRef ds:uri="http://schemas.openxmlformats.org/officeDocument/2006/bibliography"/>
  </ds:schemaRefs>
</ds:datastoreItem>
</file>

<file path=customXml/itemProps4.xml><?xml version="1.0" encoding="utf-8"?>
<ds:datastoreItem xmlns:ds="http://schemas.openxmlformats.org/officeDocument/2006/customXml" ds:itemID="{19B6AFCD-6AE3-48AC-A2A3-29026F86B8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708</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Ernesto Ainoza Enrech</cp:lastModifiedBy>
  <cp:revision>7</cp:revision>
  <cp:lastPrinted>2017-09-08T09:41:00Z</cp:lastPrinted>
  <dcterms:created xsi:type="dcterms:W3CDTF">2021-10-27T22:36:00Z</dcterms:created>
  <dcterms:modified xsi:type="dcterms:W3CDTF">2021-11-02T12:17:00Z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