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4.png" ContentType="image/png"/>
  <Override PartName="/word/media/rId69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21.png" ContentType="image/png"/>
  <Override PartName="/word/media/rId26.png" ContentType="image/png"/>
  <Override PartName="/word/media/rId29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Posterior approximation with the Gibbs sampler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-semiconjugate-prior-distribution"/>
    <w:p>
      <w:pPr>
        <w:pStyle w:val="Heading1"/>
      </w:pPr>
      <w:r>
        <w:t xml:space="preserve">1. A semiconjugate prior distribution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Chapter 5, we performed two-parameter inference by decomposing the prior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So our prior</w:t>
      </w:r>
      <w:r>
        <w:t xml:space="preserve"> </w:t>
      </w:r>
      <w:r>
        <w:t xml:space="preserve">distribution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relates to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∣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However, consider that we may want to decouple the priors of the two parameters.</w:t>
      </w:r>
      <w:r>
        <w:t xml:space="preserve"> </w:t>
      </w:r>
      <w:r>
        <w:t xml:space="preserve">This allows flexibility with specification of the prior (initial estimate and</w:t>
      </w:r>
      <w:r>
        <w:t xml:space="preserve"> </w:t>
      </w:r>
      <w:r>
        <w:t xml:space="preserve">confidence) of either parameter.</w:t>
      </w:r>
    </w:p>
    <w:p>
      <w:pPr>
        <w:pStyle w:val="BodyText"/>
      </w:pPr>
      <w:r>
        <w:t xml:space="preserve">Consider the midge wing example: we picked a prior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was centered</w:t>
      </w:r>
      <w:r>
        <w:t xml:space="preserve"> </w:t>
      </w:r>
      <w:r>
        <w:t xml:space="preserve">around 1.9 (our prior expectation) but with most of its mass above 0, since wing</w:t>
      </w:r>
      <w:r>
        <w:t xml:space="preserve"> </w:t>
      </w:r>
      <w:r>
        <w:t xml:space="preserve">lengths cannot be above 0. We can’t freely do this from what we know in section</w:t>
      </w:r>
      <w:r>
        <w:t xml:space="preserve"> </w:t>
      </w:r>
      <w:r>
        <w:t xml:space="preserve">5 (i.e. setting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κ</m:t>
            </m:r>
          </m:e>
          <m:sub>
            <m:r>
              <m:t>0</m:t>
            </m:r>
          </m:sub>
        </m:sSub>
      </m:oMath>
      <w:r>
        <w:t xml:space="preserve">). Alternatively, we can set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to be whatever we want, but then there is no longer a known form of</w:t>
      </w:r>
      <w:r>
        <w:t xml:space="preserve"> </w:t>
      </w:r>
      <w:r>
        <w:t xml:space="preserve">the joint posterior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∝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×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that can easily be sampled from. However, as it turns out, the full conditionals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are easy to specify, as when evaluating the formulas, we can simply</w:t>
      </w:r>
      <w:r>
        <w:t xml:space="preserve"> </w:t>
      </w:r>
      <w:r>
        <w:t xml:space="preserve">disregard the other fixed parameter as a constant, leading to known posterior</w:t>
      </w:r>
      <w:r>
        <w:t xml:space="preserve"> </w:t>
      </w:r>
      <w:r>
        <w:t xml:space="preserve">distributions. A technicue called Gibbs sampling allows us to take advantage of</w:t>
      </w:r>
      <w:r>
        <w:t xml:space="preserve"> </w:t>
      </w:r>
      <w:r>
        <w:t xml:space="preserve">this by constructing a sampler that approximates the (unknown) joint</w:t>
      </w:r>
      <w:r>
        <w:t xml:space="preserve"> </w:t>
      </w:r>
      <w:r>
        <w:t xml:space="preserve">distribution by sampling iteratively from the (known) full conditional</w:t>
      </w:r>
      <w:r>
        <w:t xml:space="preserve"> </w:t>
      </w:r>
      <w:r>
        <w:t xml:space="preserve">distributions.</w:t>
      </w:r>
    </w:p>
    <w:bookmarkEnd w:id="20"/>
    <w:bookmarkStart w:id="24" w:name="discrete-approximations"/>
    <w:p>
      <w:pPr>
        <w:pStyle w:val="Heading1"/>
      </w:pPr>
      <w:r>
        <w:t xml:space="preserve">2. Discrete approximations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Why posterior densities are hard to calculate for nonconjugate priors using</w:t>
      </w:r>
      <w:r>
        <w:t xml:space="preserve"> </w:t>
      </w:r>
      <w:r>
        <w:t xml:space="preserve">Bayes rule?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y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θ</m:t>
                        </m:r>
                      </m:e>
                    </m:d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∫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t> </m:t>
                    </m:r>
                    <m:r>
                      <m:t>d</m:t>
                    </m:r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′</m:t>
                    </m:r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The numerator here is often easy to calculate, but the denominator is often</w:t>
      </w:r>
      <w:r>
        <w:t xml:space="preserve"> </w:t>
      </w:r>
      <w:r>
        <w:t xml:space="preserve">prohibitively hard to compute. When the numerator is not known to be</w:t>
      </w:r>
      <w:r>
        <w:t xml:space="preserve"> </w:t>
      </w:r>
      <w:r>
        <w:t xml:space="preserve">proportional to a known probability distribution, we can’t get the full joint</w:t>
      </w:r>
      <w:r>
        <w:t xml:space="preserve"> </w:t>
      </w:r>
      <w:r>
        <w:t xml:space="preserve">density without the denominator.</w:t>
      </w:r>
    </w:p>
    <w:p>
      <w:pPr>
        <w:pStyle w:val="BodyText"/>
      </w:pPr>
      <w:r>
        <w:t xml:space="preserve">Notice however that we can still evaluate relative probabilites of</w:t>
      </w:r>
      <w:r>
        <w:t xml:space="preserve"> </w:t>
      </w:r>
      <m:oMath>
        <m:sSub>
          <m:e>
            <m:r>
              <m:rPr>
                <m:sty m:val="b"/>
              </m:rP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θ</m:t>
            </m:r>
          </m:e>
          <m:sub>
            <m:r>
              <m:t>b</m:t>
            </m:r>
          </m:sub>
        </m:sSub>
      </m:oMath>
      <w:r>
        <w:t xml:space="preserve">, as their ratio cancels out</w:t>
      </w:r>
      <w:r>
        <w:t xml:space="preserve"> </w:t>
      </w:r>
      <w:r>
        <w:t xml:space="preserve">the integral. More generally, we can create a discrete approximation of the</w:t>
      </w:r>
      <w:r>
        <w:t xml:space="preserve"> </w:t>
      </w:r>
      <w:r>
        <w:t xml:space="preserve">probabilities by evaluating the numerator of this density for values of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across an</w:t>
      </w:r>
      <w:r>
        <w:t xml:space="preserve"> </w:t>
      </w:r>
      <m:oMath>
        <m:r>
          <m:t>n</m:t>
        </m:r>
      </m:oMath>
      <w:r>
        <w:t xml:space="preserve">-dimensional grid, then dividing each of</w:t>
      </w:r>
      <w:r>
        <w:t xml:space="preserve"> </w:t>
      </w:r>
      <w:r>
        <w:t xml:space="preserve">these unnormalized densities by the sum of the entire grid.</w:t>
      </w:r>
    </w:p>
    <w:p>
      <w:pPr>
        <w:pStyle w:val="BodyText"/>
      </w:pPr>
      <w:r>
        <w:t xml:space="preserve">Funnily, this is pretty much what I have been doing in the past chapters when</w:t>
      </w:r>
      <w:r>
        <w:t xml:space="preserve"> </w:t>
      </w:r>
      <w:r>
        <w:t xml:space="preserve">plotting heatmaps: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Prior</w:t>
      </w:r>
      <w:r>
        <w:br/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br/>
      </w:r>
      <w:r>
        <w:rPr>
          <w:rStyle w:val="CommentTok"/>
        </w:rPr>
        <w:t xml:space="preserve"># Tau chosen such that most of the mass of the normal distribution &gt; 0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calculates p(sigma2, theta, y_1, \dots, y_n)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(invgamma)</w:t>
      </w:r>
      <w:r>
        <w:br/>
      </w:r>
      <w:r>
        <w:rPr>
          <w:rStyle w:val="NormalTok"/>
        </w:rPr>
        <w:t xml:space="preserve">post.func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(theta, sigma2)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mu0,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(t20))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(sigma2,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(Theta, Sigma2, post.func)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Sigma2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(theta),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..level..))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6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ba355e0d73f591d64efc76fa7d85ea194a61e21"/>
    <w:p>
      <w:pPr>
        <w:pStyle w:val="Heading1"/>
      </w:pPr>
      <w:r>
        <w:t xml:space="preserve">3. Sampling from the conditional distributions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Again, to proceed with Gibbs sampling, we simply need to calculate the full</w:t>
      </w:r>
      <w:r>
        <w:t xml:space="preserve"> </w:t>
      </w:r>
      <w:r>
        <w:t xml:space="preserve">conditional distributions of the parameters. We already computed the</w:t>
      </w:r>
      <w:r>
        <w:t xml:space="preserve"> </w:t>
      </w:r>
      <w:r>
        <w:t xml:space="preserve">full conditional for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5.2. For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then</w:t>
      </w:r>
      <w:r>
        <w:t xml:space="preserve"> </w:t>
      </w:r>
      <m:oMath>
        <m:r>
          <m:t>θ</m:t>
        </m:r>
        <m:r>
          <m:rPr>
            <m:sty m:val="p"/>
          </m:rPr>
          <m:t>∣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where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are not</w:t>
      </w:r>
      <w:r>
        <w:t xml:space="preserve"> </w:t>
      </w:r>
      <w:r>
        <w:t xml:space="preserve">reproduced here (see 5.2).</w:t>
      </w:r>
    </w:p>
    <w:p>
      <w:pPr>
        <w:pStyle w:val="BodyText"/>
      </w:pPr>
      <w:r>
        <w:t xml:space="preserve">Now we find the full conditional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using the exact same method as in 5.2: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p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θ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sSub>
                              <m:e>
                                <m:r>
                                  <m:t>ν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p>
                              <m:e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θ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d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, with the</w:t>
      </w:r>
      <w:r>
        <w:t xml:space="preserve"> </w:t>
      </w:r>
      <w:r>
        <w:t xml:space="preserve">parameters: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n</m:t>
        </m:r>
      </m:oMath>
    </w:p>
    <w:p>
      <w:pPr>
        <w:pStyle w:val="Compact"/>
        <w:numPr>
          <w:ilvl w:val="0"/>
          <w:numId w:val="1001"/>
        </w:numPr>
      </w:pP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n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bSup>
              <m:e>
                <m:r>
                  <m:t>s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n</m:t>
            </m:r>
          </m:sub>
        </m:sSub>
      </m:oMath>
    </w:p>
    <w:p>
      <w:pPr>
        <w:pStyle w:val="FirstParagraph"/>
      </w:pPr>
      <w:r>
        <w:t xml:space="preserve">We denote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to indicate that</w:t>
      </w:r>
      <w:r>
        <w:t xml:space="preserve"> </w:t>
      </w:r>
      <m:oMath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</w:t>
      </w:r>
      <w:r>
        <w:t xml:space="preserve"> </w:t>
      </w:r>
      <w:r>
        <w:t xml:space="preserve">dependent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which is assumed known.</w:t>
      </w:r>
    </w:p>
    <w:p>
      <w:pPr>
        <w:pStyle w:val="BlockText"/>
      </w:pPr>
      <w:r>
        <w:t xml:space="preserve">A shortcut for thinking about full conditionals, instead of explicitly</w:t>
      </w:r>
      <w:r>
        <w:t xml:space="preserve"> </w:t>
      </w:r>
      <w:r>
        <w:t xml:space="preserve">decomposing the probability according to Bayes rule each time, is to write the</w:t>
      </w:r>
      <w:r>
        <w:t xml:space="preserve"> </w:t>
      </w:r>
      <w:r>
        <w:t xml:space="preserve">numerator of the full joint posterior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θ</m:t>
            </m:r>
            <m:r>
              <m:rPr>
                <m:sty m:val="p"/>
              </m:rPr>
              <m:t>∣</m:t>
            </m:r>
            <m:r>
              <m:rPr>
                <m:sty m:val="b"/>
              </m:rPr>
              <m:t>y</m:t>
            </m:r>
          </m:e>
        </m:d>
      </m:oMath>
      <w:r>
        <w:t xml:space="preserve">.</w:t>
      </w:r>
      <w:r>
        <w:t xml:space="preserve"> </w:t>
      </w:r>
      <w:r>
        <w:t xml:space="preserve">Then, if you are interested in the full conditional of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b"/>
              </m:rPr>
              <m:t>y</m:t>
            </m:r>
          </m:e>
        </m:d>
      </m:oMath>
      <w:r>
        <w:t xml:space="preserve">, simply evaluate the full joint posterior while treating all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as constants (and thus discardable to maintain</w:t>
      </w:r>
      <w:r>
        <w:t xml:space="preserve"> </w:t>
      </w:r>
      <w:r>
        <w:t xml:space="preserve">proportionality). This is used in later chapters (e.g. 8.3.1)</w:t>
      </w:r>
    </w:p>
    <w:bookmarkEnd w:id="25"/>
    <w:bookmarkStart w:id="32" w:name="gibbs-sampling"/>
    <w:p>
      <w:pPr>
        <w:pStyle w:val="Heading1"/>
      </w:pPr>
      <w:r>
        <w:t xml:space="preserve">4. Gibbs sampling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this, Gibbs sampling proceeds as follows:</w:t>
      </w:r>
    </w:p>
    <w:p>
      <w:pPr>
        <w:pStyle w:val="BodyText"/>
      </w:pPr>
      <w:r>
        <w:t xml:space="preserve">Begin with start values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 Usually these can be</w:t>
      </w:r>
      <w:r>
        <w:t xml:space="preserve"> </w:t>
      </w:r>
      <w:r>
        <w:t xml:space="preserve">standard naive estimates of the parameters. Also, you technically only have to</w:t>
      </w:r>
      <w:r>
        <w:t xml:space="preserve"> </w:t>
      </w:r>
      <w:r>
        <w:t xml:space="preserve">have start values for</w:t>
      </w:r>
      <w:r>
        <w:t xml:space="preserve"> </w:t>
      </w:r>
      <w:r>
        <w:rPr>
          <w:i/>
          <w:iCs/>
        </w:rPr>
        <w:t xml:space="preserve">all but one</w:t>
      </w:r>
      <w:r>
        <w:t xml:space="preserve"> </w:t>
      </w:r>
      <w:r>
        <w:t xml:space="preserve">parameter, because now…</w:t>
      </w:r>
    </w:p>
    <w:p>
      <w:pPr>
        <w:pStyle w:val="Compact"/>
        <w:numPr>
          <w:ilvl w:val="0"/>
          <w:numId w:val="1002"/>
        </w:numPr>
      </w:pPr>
      <w:r>
        <w:t xml:space="preserve">(WOLOG) Sample</w:t>
      </w:r>
      <w:r>
        <w:t xml:space="preserve"> </w:t>
      </w:r>
      <m:oMath>
        <m:sSubSup>
          <m:e>
            <m:r>
              <m:t>θ</m:t>
            </m:r>
          </m:e>
          <m:sub>
            <m:r>
              <m:t>1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∼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Sup>
              <m:e>
                <m:r>
                  <m:t>θ</m:t>
                </m:r>
              </m:e>
              <m:sub>
                <m:r>
                  <m:t>2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θ</m:t>
                </m:r>
              </m:e>
              <m:sub>
                <m:r>
                  <m:t>n</m:t>
                </m:r>
              </m:sub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 </w:t>
      </w:r>
      <w:r>
        <w:t xml:space="preserve">(the full conditional)</w:t>
      </w:r>
    </w:p>
    <w:p>
      <w:pPr>
        <w:pStyle w:val="Compact"/>
        <w:numPr>
          <w:ilvl w:val="0"/>
          <w:numId w:val="1002"/>
        </w:numPr>
      </w:pPr>
      <w:r>
        <w:t xml:space="preserve">Similarly, sample</w:t>
      </w:r>
      <w:r>
        <w:t xml:space="preserve"> </w:t>
      </w:r>
      <m:oMath>
        <m:sSubSup>
          <m:e>
            <m:r>
              <m:t>θ</m:t>
            </m:r>
          </m:e>
          <m:sub>
            <m:r>
              <m:t>2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∼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p"/>
              </m:rPr>
              <m:t>…</m:t>
            </m:r>
          </m:e>
        </m:d>
      </m:oMath>
      <w:r>
        <w:t xml:space="preserve">,</w:t>
      </w:r>
      <w:r>
        <w:t xml:space="preserve"> </w:t>
      </w:r>
      <m:oMath>
        <m:sSubSup>
          <m:e>
            <m:r>
              <m:t>θ</m:t>
            </m:r>
          </m:e>
          <m:sub>
            <m:r>
              <m:t>3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∼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p"/>
              </m:rPr>
              <m:t>…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sup>
                  </m:sSubSup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sup>
                  </m:sSubSup>
                </m:e>
              </m:mr>
            </m:m>
          </m:e>
        </m:d>
      </m:oMath>
      <w:r>
        <w:t xml:space="preserve"> </w:t>
      </w:r>
      <w:r>
        <w:t xml:space="preserve">is your first Gibbs sample.</w:t>
      </w:r>
    </w:p>
    <w:p>
      <w:pPr>
        <w:pStyle w:val="Compact"/>
        <w:numPr>
          <w:ilvl w:val="0"/>
          <w:numId w:val="1002"/>
        </w:numPr>
      </w:pPr>
      <w:r>
        <w:t xml:space="preserve">Given Gibbs sample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, for further samples, sample</w:t>
      </w:r>
      <w:r>
        <w:t xml:space="preserve"> </w:t>
      </w:r>
      <w:r>
        <w:t xml:space="preserve">each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individually as before, conditioning on the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bSup>
      </m:oMath>
      <w:r>
        <w:t xml:space="preserve"> </w:t>
      </w:r>
      <w:r>
        <w:t xml:space="preserve">of the previous gibbs sampling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new samples</w:t>
      </w:r>
      <w:r>
        <w:t xml:space="preserve"> </w:t>
      </w:r>
      <m:oMath>
        <m:sSubSup>
          <m:e>
            <m:r>
              <m:t>θ</m:t>
            </m:r>
          </m:e>
          <m:sub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as they are received. Then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sup>
                  </m:sSubSup>
                </m:e>
                <m:e>
                  <m:r>
                    <m:rPr>
                      <m:sty m:val="p"/>
                    </m:rPr>
                    <m:t>⋯</m:t>
                  </m:r>
                </m:e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sup>
                  </m:sSubSup>
                </m:e>
              </m:mr>
            </m:m>
          </m:e>
        </m:d>
      </m:oMath>
      <w:r>
        <w:t xml:space="preserve"> </w:t>
      </w:r>
      <w:r>
        <w:t xml:space="preserve">is the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1</m:t>
        </m:r>
      </m:oMath>
      <w:r>
        <w:t xml:space="preserve">th Gibbs sample.</w:t>
      </w:r>
    </w:p>
    <w:p>
      <w:pPr>
        <w:pStyle w:val="FirstParagraph"/>
      </w:pPr>
      <w:r>
        <w:t xml:space="preserve">Notice that the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1</m:t>
        </m:r>
      </m:oMath>
      <w:r>
        <w:t xml:space="preserve">th sample is only conditionally dependent on the</w:t>
      </w:r>
      <w:r>
        <w:t xml:space="preserve"> </w:t>
      </w:r>
      <m:oMath>
        <m:r>
          <m:t>s</m:t>
        </m:r>
      </m:oMath>
      <w:r>
        <w:t xml:space="preserve">th</w:t>
      </w:r>
      <w:r>
        <w:t xml:space="preserve"> </w:t>
      </w:r>
      <w:r>
        <w:t xml:space="preserve">sample, hence the term</w:t>
      </w:r>
      <w:r>
        <w:t xml:space="preserve"> </w:t>
      </w:r>
      <w:r>
        <w:t xml:space="preserve">“Markov Chain Monte Carlo”</w:t>
      </w:r>
      <w:r>
        <w:t xml:space="preserve">.</w:t>
      </w:r>
      <w:r>
        <w:t xml:space="preserve"> </w:t>
      </w:r>
      <w:r>
        <w:t xml:space="preserve">Once these samples are obtained, you can treat them like a standard Monte Carlo</w:t>
      </w:r>
      <w:r>
        <w:t xml:space="preserve"> </w:t>
      </w:r>
      <w:r>
        <w:t xml:space="preserve">sample, and compute all of the desired quantities.</w:t>
      </w:r>
    </w:p>
    <w:p>
      <w:pPr>
        <w:pStyle w:val="BodyText"/>
      </w:pPr>
      <w:r>
        <w:t xml:space="preserve">The following is an example for our midge length data: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(ybar,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 </w:t>
      </w:r>
      <w:r>
        <w:rPr>
          <w:rStyle w:val="CommentTok"/>
        </w:rPr>
        <w:t xml:space="preserve"># Start with sample mean + variance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Reproducibility</w:t>
      </w:r>
      <w:r>
        <w:br/>
      </w:r>
      <w:r>
        <w:rPr>
          <w:rStyle w:val="CommentTok"/>
        </w:rPr>
        <w:t xml:space="preserve"># Should use a for loop, as there are variables we need to keep track of through</w:t>
      </w:r>
      <w:r>
        <w:br/>
      </w:r>
      <w:r>
        <w:rPr>
          <w:rStyle w:val="CommentTok"/>
        </w:rPr>
        <w:t xml:space="preserve"># iterations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based on \sigma^2 (phi[2])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According to normal(\mu_n, \tau^2_n) where \mu_n and \tau^2_n are as below</w:t>
      </w:r>
      <w:r>
        <w:br/>
      </w:r>
      <w:r>
        <w:rPr>
          <w:rStyle w:val="NormalTok"/>
        </w:rPr>
        <w:t xml:space="preserve">  mun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(t2n))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1/sigma^2 based on \theta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s2n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posterior distribution: inverse-gamma(\nu_n / 2, \sigma^2_n(\theta)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\nu_n / 2)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PHI[s,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following are plots of 5, 15, and 100 consecutive Gibbs samples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6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scatterplot of all 1000 of our Gibbs samples: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(phi.df,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6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Finally, some quantiles:</w:t>
      </w:r>
    </w:p>
    <w:p>
      <w:pPr>
        <w:pStyle w:val="SourceCode"/>
      </w:pPr>
      <w:r>
        <w:rPr>
          <w:rStyle w:val="CommentTok"/>
        </w:rPr>
        <w:t xml:space="preserve"># CI for population mean - first column is theta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(PHI[,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2.5%      50%    97.5% </w:t>
      </w:r>
      <w:r>
        <w:br/>
      </w:r>
      <w:r>
        <w:rPr>
          <w:rStyle w:val="CommentTok"/>
        </w:rPr>
        <w:t xml:space="preserve">#&gt; 1.707282 1.804348 1.901129</w:t>
      </w:r>
      <w:r>
        <w:br/>
      </w:r>
      <w:r>
        <w:rPr>
          <w:rStyle w:val="CommentTok"/>
        </w:rPr>
        <w:t xml:space="preserve"># CI for population precision, second column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(PHI[,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2.5%       50%     97.5% </w:t>
      </w:r>
      <w:r>
        <w:br/>
      </w:r>
      <w:r>
        <w:rPr>
          <w:rStyle w:val="CommentTok"/>
        </w:rPr>
        <w:t xml:space="preserve">#&gt;  17.48020  53.62511 129.20020</w:t>
      </w:r>
      <w:r>
        <w:br/>
      </w:r>
      <w:r>
        <w:rPr>
          <w:rStyle w:val="CommentTok"/>
        </w:rPr>
        <w:t xml:space="preserve"># CI for population stddev, arbitrary function of second column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(PHI[,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2.5%        50%      97.5% </w:t>
      </w:r>
      <w:r>
        <w:br/>
      </w:r>
      <w:r>
        <w:rPr>
          <w:rStyle w:val="CommentTok"/>
        </w:rPr>
        <w:t xml:space="preserve">#&gt; 0.08797701 0.13655763 0.23918408</w:t>
      </w:r>
      <w:r>
        <w:br/>
      </w:r>
      <w:r>
        <w:br/>
      </w:r>
      <w:r>
        <w:rPr>
          <w:rStyle w:val="CommentTok"/>
        </w:rPr>
        <w:t xml:space="preserve"># For later</w:t>
      </w:r>
      <w:r>
        <w:br/>
      </w:r>
      <w:r>
        <w:rPr>
          <w:rStyle w:val="NormalTok"/>
        </w:rPr>
        <w:t xml:space="preserve">midge.df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phi.df</w:t>
      </w:r>
    </w:p>
    <w:bookmarkEnd w:id="32"/>
    <w:bookmarkStart w:id="33" w:name="general-properties-of-the-gibbs-sampler"/>
    <w:p>
      <w:pPr>
        <w:pStyle w:val="Heading1"/>
      </w:pPr>
      <w:r>
        <w:t xml:space="preserve">5. General properties of the Gibbs sampler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conditions that will be met for our models, like the law of large numbers</w:t>
      </w:r>
      <w:r>
        <w:t xml:space="preserve"> </w:t>
      </w:r>
      <w:r>
        <w:t xml:space="preserve">for standard monte carlo sampling, a sufficient number of Gibbs samples</w:t>
      </w:r>
      <w:r>
        <w:t xml:space="preserve"> </w:t>
      </w:r>
      <w:r>
        <w:t xml:space="preserve">approaches the target distribution. The question of course is how many samples</w:t>
      </w:r>
      <w:r>
        <w:t xml:space="preserve"> </w:t>
      </w:r>
      <w:r>
        <w:t xml:space="preserve">is enough, which is covered in the next section.</w:t>
      </w:r>
    </w:p>
    <w:p>
      <w:pPr>
        <w:pStyle w:val="BodyText"/>
      </w:pPr>
      <w:r>
        <w:t xml:space="preserve">Another important point is that Gibbs sampling is not a Bayesian model. These</w:t>
      </w:r>
      <w:r>
        <w:t xml:space="preserve"> </w:t>
      </w:r>
      <w:r>
        <w:t xml:space="preserve">two concepts should be separated: Gibbs sampling is a general framework for</w:t>
      </w:r>
      <w:r>
        <w:t xml:space="preserve"> </w:t>
      </w:r>
      <w:r>
        <w:t xml:space="preserve">“observing”</w:t>
      </w:r>
      <w:r>
        <w:t xml:space="preserve"> </w:t>
      </w:r>
      <w:r>
        <w:t xml:space="preserve">the posterior probability distribution, whatever that distribution</w:t>
      </w:r>
      <w:r>
        <w:t xml:space="preserve"> </w:t>
      </w:r>
      <w:r>
        <w:t xml:space="preserve">is.</w:t>
      </w:r>
    </w:p>
    <w:bookmarkEnd w:id="33"/>
    <w:bookmarkStart w:id="60" w:name="introduction-to-mcmc-diagnostics"/>
    <w:p>
      <w:pPr>
        <w:pStyle w:val="Heading1"/>
      </w:pPr>
      <w:r>
        <w:t xml:space="preserve">6. Introduction to MCMC diagnostics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an example of the importance of assessing convergence of Gibbs sampling,</w:t>
      </w:r>
      <w:r>
        <w:t xml:space="preserve"> </w:t>
      </w:r>
      <w:r>
        <w:t xml:space="preserve">consider the following target distribution, a 45-10-45 mixture of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,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,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6_files/figure-docx/unnamed-chunk-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Gibbs sampler to obtain samples from this is:</w:t>
      </w:r>
    </w:p>
    <w:p>
      <w:pPr>
        <w:pStyle w:val="SourceCode"/>
      </w:pPr>
      <w:r>
        <w:rPr>
          <w:rStyle w:val="CommentTok"/>
        </w:rPr>
        <w:t xml:space="preserve"># Gibbs sampling with S = 1000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Let delta0 = 2 and theta0 = 0</w:t>
      </w:r>
      <w:r>
        <w:br/>
      </w:r>
      <w:r>
        <w:rPr>
          <w:rStyle w:val="NormalTok"/>
        </w:rPr>
        <w:t xml:space="preserve">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Reproducibility</w:t>
      </w:r>
      <w:r>
        <w:br/>
      </w:r>
      <w:r>
        <w:rPr>
          <w:rStyle w:val="CommentTok"/>
        </w:rPr>
        <w:t xml:space="preserve"># Should use a for loop, as there are variables we need to keep track of through</w:t>
      </w:r>
      <w:r>
        <w:br/>
      </w:r>
      <w:r>
        <w:rPr>
          <w:rStyle w:val="CommentTok"/>
        </w:rPr>
        <w:t xml:space="preserve"># iterations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delta s+1 based on theta s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PROB.DENS[d]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MU.DENS[d],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(S2.DENS[d]))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(probs)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 s+1 based on delta (easy)</w:t>
      </w:r>
      <w:r>
        <w:br/>
      </w:r>
      <w:r>
        <w:rPr>
          <w:rStyle w:val="NormalTok"/>
        </w:rPr>
        <w:t xml:space="preserve">  phi[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MU.DENS[phi[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(S2.DENS[phi[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  <w:r>
        <w:br/>
      </w:r>
      <w:r>
        <w:br/>
      </w:r>
      <w:r>
        <w:rPr>
          <w:rStyle w:val="NormalTok"/>
        </w:rPr>
        <w:t xml:space="preserve">  PHI[s,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phi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theta.mcmc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(PHI)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(theta.mcmc)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(theta.mcmc)</w:t>
      </w:r>
      <w:r>
        <w:br/>
      </w:r>
      <w:r>
        <w:br/>
      </w:r>
      <w:r>
        <w:rPr>
          <w:rStyle w:val="CommentTok"/>
        </w:rPr>
        <w:t xml:space="preserve"># How well does this work?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(theta.dist,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theta.mcmc,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6_files/figure-docx/unnamed-chunk-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Traceplot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(theta.mcmc,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6_files/figure-docx/unnamed-chunk-8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histogram does not adequately approximate the distribution. Try</w:t>
      </w:r>
      <w:r>
        <w:t xml:space="preserve"> </w:t>
      </w:r>
      <w:r>
        <w:t xml:space="preserve">changing the number of samples to 10000 or 100000, which should be better.</w:t>
      </w:r>
    </w:p>
    <w:p>
      <w:pPr>
        <w:pStyle w:val="BodyText"/>
      </w:pPr>
      <w:r>
        <w:t xml:space="preserve">The problem is that since the sampler generates dependent samples, the sampler</w:t>
      </w:r>
      <w:r>
        <w:t xml:space="preserve"> </w:t>
      </w:r>
      <w:r>
        <w:t xml:space="preserve">sticks in high probability regions for a long time. After sufficient samples,</w:t>
      </w:r>
      <w:r>
        <w:t xml:space="preserve"> </w:t>
      </w:r>
      <w:r>
        <w:t xml:space="preserve">this balances out, but sometimes the number of samples required may be very</w:t>
      </w:r>
      <w:r>
        <w:t xml:space="preserve"> </w:t>
      </w:r>
      <w:r>
        <w:t xml:space="preserve">large.</w:t>
      </w:r>
    </w:p>
    <w:bookmarkStart w:id="46" w:name="getting-it-right"/>
    <w:p>
      <w:pPr>
        <w:pStyle w:val="Heading3"/>
      </w:pPr>
      <w:r>
        <w:t xml:space="preserve">6.0.1 Getting it right</w:t>
      </w:r>
    </w:p>
    <w:p>
      <w:pPr>
        <w:pStyle w:val="FirstParagraph"/>
      </w:pPr>
      <w:r>
        <w:t xml:space="preserve">Estimate of MCMC depends on autocorrelation: how correlated a chain of values is</w:t>
      </w:r>
      <w:r>
        <w:t xml:space="preserve"> </w:t>
      </w:r>
      <w:r>
        <w:t xml:space="preserve">with itself. We prefer low correlation values. The</w:t>
      </w:r>
      <w:r>
        <w:t xml:space="preserve"> </w:t>
      </w:r>
      <w:r>
        <w:rPr>
          <w:rStyle w:val="VerbatimChar"/>
        </w:rPr>
        <w:t xml:space="preserve">acf</w:t>
      </w:r>
      <w:r>
        <w:t xml:space="preserve"> </w:t>
      </w:r>
      <w:r>
        <w:t xml:space="preserve">function can be used to assess this: each bar represents the autocorrelation for varying levels of lag, where</w:t>
      </w:r>
      <w:r>
        <w:t xml:space="preserve"> </w:t>
      </w:r>
      <w:r>
        <w:t xml:space="preserve">“lag”</w:t>
      </w:r>
      <w:r>
        <w:t xml:space="preserve"> </w:t>
      </w:r>
      <w:r>
        <w:t xml:space="preserve">is the gap in subsequent samples.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6_files/figure-docx/unnamed-chunk-9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Another thing we can do is obtain the</w:t>
      </w:r>
      <w:r>
        <w:t xml:space="preserve"> </w:t>
      </w:r>
      <w:r>
        <w:t xml:space="preserve">“effective sample size”</w:t>
      </w:r>
      <w:r>
        <w:t xml:space="preserve"> </w:t>
      </w:r>
      <w:r>
        <w:t xml:space="preserve">of the MCMC</w:t>
      </w:r>
      <w:r>
        <w:t xml:space="preserve"> </w:t>
      </w:r>
      <w:r>
        <w:t xml:space="preserve">sample. This exploits the fact that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samples of a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the following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Var</m:t>
                    </m:r>
                  </m:e>
                  <m:sub>
                    <m:r>
                      <m:rPr>
                        <m:nor/>
                        <m:sty m:val="p"/>
                      </m:rPr>
                      <m:t>MCMC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num>
                  <m:den>
                    <m:r>
                      <m:t>n</m:t>
                    </m:r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only holds if the autocorrelation of the samples is zero. If there is positive</w:t>
      </w:r>
      <w:r>
        <w:t xml:space="preserve"> </w:t>
      </w:r>
      <w:r>
        <w:t xml:space="preserve">autocorrelation in the samples, the variance of the sample mean increases, which</w:t>
      </w:r>
      <w:r>
        <w:t xml:space="preserve"> </w:t>
      </w:r>
      <w:r>
        <w:t xml:space="preserve">“reduces”</w:t>
      </w:r>
      <w:r>
        <w:t xml:space="preserve"> </w:t>
      </w:r>
      <m:oMath>
        <m:r>
          <m:t>n</m:t>
        </m:r>
      </m:oMath>
      <w:r>
        <w:t xml:space="preserve">. So by obtaining estimates of the variance of the population (by</w:t>
      </w:r>
      <w:r>
        <w:t xml:space="preserve"> </w:t>
      </w:r>
      <w:r>
        <w:t xml:space="preserve">estimating the variance of the sample) and estimates of the variance of the</w:t>
      </w:r>
      <w:r>
        <w:t xml:space="preserve"> </w:t>
      </w:r>
      <w:r>
        <w:t xml:space="preserve">mean, we can solve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which is an</w:t>
      </w:r>
      <w:r>
        <w:t xml:space="preserve"> </w:t>
      </w:r>
      <w:r>
        <w:t xml:space="preserve">“effective sample size”</w:t>
      </w:r>
      <w:r>
        <w:t xml:space="preserve">.</w:t>
      </w:r>
    </w:p>
    <w:p>
      <w:pPr>
        <w:pStyle w:val="BodyText"/>
      </w:pPr>
      <w:r>
        <w:t xml:space="preserve">Estimating the variance of the mean, given that we cannot assume an independent</w:t>
      </w:r>
      <w:r>
        <w:t xml:space="preserve"> </w:t>
      </w:r>
      <w:r>
        <w:t xml:space="preserve">sample, is nontrivial, and requires calculating the spectral density estimate</w:t>
      </w:r>
      <w:r>
        <w:t xml:space="preserve"> </w:t>
      </w:r>
      <w:r>
        <w:t xml:space="preserve">at frequency zero</w:t>
      </w:r>
      <w:r>
        <w:t xml:space="preserve"> </w:t>
      </w:r>
      <w:r>
        <w:t xml:space="preserve">(Marmer 2010)</w:t>
      </w:r>
      <w:r>
        <w:t xml:space="preserve"> </w:t>
      </w:r>
      <w:r>
        <w:t xml:space="preserve">which is</w:t>
      </w:r>
      <w:r>
        <w:t xml:space="preserve"> </w:t>
      </w:r>
      <w:r>
        <w:t xml:space="preserve">“a convenient way to represent the sequence of autocovariances”</w:t>
      </w:r>
      <w:r>
        <w:t xml:space="preserve"> </w:t>
      </w:r>
      <w:r>
        <w:t xml:space="preserve">of a</w:t>
      </w:r>
      <w:r>
        <w:t xml:space="preserve"> </w:t>
      </w:r>
      <w:r>
        <w:t xml:space="preserve">stochastic process, and is related to 1) autocorrelation, and 2) Fourier transformation.</w:t>
      </w:r>
    </w:p>
    <w:p>
      <w:pPr>
        <w:pStyle w:val="BodyText"/>
      </w:pPr>
      <w:r>
        <w:t xml:space="preserve">This is implemented as the</w:t>
      </w:r>
      <w:r>
        <w:t xml:space="preserve"> </w:t>
      </w:r>
      <w:r>
        <w:rPr>
          <w:rStyle w:val="VerbatimChar"/>
        </w:rPr>
        <w:t xml:space="preserve">effectiveSize</w:t>
      </w:r>
      <w:r>
        <w:t xml:space="preserve"> </w:t>
      </w:r>
      <w:r>
        <w:t xml:space="preserve">function in R, which abridged looks</w:t>
      </w:r>
      <w:r>
        <w:t xml:space="preserve"> </w:t>
      </w:r>
      <w:r>
        <w:t xml:space="preserve">like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rPr>
          <w:rStyle w:val="NormalTok"/>
        </w:rPr>
        <w:t xml:space="preserve">myEffectiveSize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spec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spectrum0.ar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spec)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  <w:r>
        <w:br/>
      </w:r>
      <w:r>
        <w:rPr>
          <w:rStyle w:val="CommentTok"/>
        </w:rPr>
        <w:t xml:space="preserve">#&gt;    var1 </w:t>
      </w:r>
      <w:r>
        <w:br/>
      </w:r>
      <w:r>
        <w:rPr>
          <w:rStyle w:val="CommentTok"/>
        </w:rPr>
        <w:t xml:space="preserve">#&gt; 5.02999</w:t>
      </w:r>
      <w:r>
        <w:br/>
      </w:r>
      <w:r>
        <w:rPr>
          <w:rStyle w:val="FunctionTok"/>
        </w:rPr>
        <w:t xml:space="preserve">myEffectiveSize</w:t>
      </w:r>
      <w:r>
        <w:rPr>
          <w:rStyle w:val="NormalTok"/>
        </w:rPr>
        <w:t xml:space="preserve">(theta.mcmc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  <w:r>
        <w:br/>
      </w:r>
      <w:r>
        <w:rPr>
          <w:rStyle w:val="CommentTok"/>
        </w:rPr>
        <w:t xml:space="preserve">#&gt; [1] 5.02999</w:t>
      </w:r>
    </w:p>
    <w:bookmarkEnd w:id="46"/>
    <w:bookmarkStart w:id="59" w:name="Xf84d2c10580edf3bbb575d7d403bdec6c244d92"/>
    <w:p>
      <w:pPr>
        <w:pStyle w:val="Heading3"/>
      </w:pPr>
      <w:r>
        <w:t xml:space="preserve">6.0.2 MCMC diagnostics for semiconjugate normal analysis</w:t>
      </w:r>
    </w:p>
    <w:p>
      <w:pPr>
        <w:pStyle w:val="FirstParagraph"/>
      </w:pPr>
      <w:r>
        <w:t xml:space="preserve">Back to midge length. Here are the traceplots for our samples of theta and sigma^2:</w:t>
      </w:r>
    </w:p>
    <w:p>
      <w:pPr>
        <w:pStyle w:val="SourceCode"/>
      </w:pPr>
      <w:r>
        <w:rPr>
          <w:rStyle w:val="NormalTok"/>
        </w:rPr>
        <w:t xml:space="preserve">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(midge.df,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6_files/figure-docx/unnamed-chunk-12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(midge.df,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6_files/figure-docx/unnamed-chunk-12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 viewing the autocorrelation function and effective sample sizes of our data,</w:t>
      </w:r>
      <w:r>
        <w:t xml:space="preserve"> </w:t>
      </w:r>
      <w:r>
        <w:t xml:space="preserve">we can see that the samples look quite good and seem to have reasonable effective sample sizes.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6_files/figure-docx/unnamed-chunk-13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theta)</w:t>
      </w:r>
      <w:r>
        <w:br/>
      </w:r>
      <w:r>
        <w:rPr>
          <w:rStyle w:val="CommentTok"/>
        </w:rPr>
        <w:t xml:space="preserve">#&gt; var1 </w:t>
      </w:r>
      <w:r>
        <w:br/>
      </w:r>
      <w:r>
        <w:rPr>
          <w:rStyle w:val="CommentTok"/>
        </w:rPr>
        <w:t xml:space="preserve">#&gt; 1000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_files/figure-docx/unnamed-chunk-13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(midge.df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1/sigma^2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805.4388</w:t>
      </w:r>
    </w:p>
    <w:bookmarkEnd w:id="59"/>
    <w:bookmarkEnd w:id="60"/>
    <w:bookmarkStart w:id="95" w:name="exercises"/>
    <w:p>
      <w:pPr>
        <w:pStyle w:val="Heading1"/>
      </w:pPr>
      <w:r>
        <w:t xml:space="preserve">7. Exercises</w:t>
      </w:r>
    </w:p>
    <w:bookmarkStart w:id="68" w:name="section"/>
    <w:p>
      <w:pPr>
        <w:pStyle w:val="Heading2"/>
      </w:pPr>
      <w:r>
        <w:t xml:space="preserve">7.1 6.1</w:t>
      </w:r>
    </w:p>
    <w:bookmarkStart w:id="61" w:name="a"/>
    <w:p>
      <w:pPr>
        <w:pStyle w:val="Heading3"/>
      </w:pPr>
      <w:r>
        <w:t xml:space="preserve">7.1.1 a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Cov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γ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  <m:e>
                <m:r>
                  <m:t>θ</m:t>
                </m:r>
                <m:r>
                  <m:rPr>
                    <m:sty m:val="p"/>
                  </m:rPr>
                  <m:t>⟂</m:t>
                </m:r>
                <m:r>
                  <m:t>γ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  <m:scr m:val="double-struck"/>
                  </m:rPr>
                  <m:t>E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  <m:scr m:val="double-struck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  <m:scr m:val="double-struck"/>
                      </m:rPr>
                      <m:t>E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θ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dependent.</w:t>
      </w:r>
    </w:p>
    <w:p>
      <w:pPr>
        <w:pStyle w:val="BodyText"/>
      </w:pPr>
      <w:r>
        <w:t xml:space="preserve">This prior is justified if we have reason to believe that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some</w:t>
      </w:r>
      <w:r>
        <w:t xml:space="preserve"> </w:t>
      </w:r>
      <w:r>
        <w:t xml:space="preserve">product of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plus random Gamma-distributed noise.</w:t>
      </w:r>
    </w:p>
    <w:bookmarkEnd w:id="61"/>
    <w:bookmarkStart w:id="62" w:name="b"/>
    <w:p>
      <w:pPr>
        <w:pStyle w:val="Heading3"/>
      </w:pPr>
      <w:r>
        <w:t xml:space="preserve">7.1.2 b</w:t>
      </w:r>
    </w:p>
    <w:p>
      <w:pPr>
        <w:pStyle w:val="FirstParagraph"/>
      </w:pPr>
      <w:r>
        <w:t xml:space="preserve">First the joint posterior distribution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</m:e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⟂</m:t>
                </m:r>
                <m:r>
                  <m:t>γ</m:t>
                </m:r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  <m:e>
                        <m:sSup>
                          <m:e>
                            <m:r>
                              <m:t>θ</m:t>
                            </m:r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A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sup>
                        </m:sSup>
                      </m:e>
                    </m:nary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γ</m:t>
                                </m:r>
                                <m:r>
                                  <m:t>θ</m:t>
                                </m:r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B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sup>
                        </m:sSup>
                      </m:e>
                    </m:nary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A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B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γ</m:t>
                    </m:r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r>
                      <m:t>θ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</m:e>
                    </m:d>
                    <m:r>
                      <m:t>θ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γ</m:t>
                    </m:r>
                  </m:e>
                </m:d>
              </m:e>
            </m:mr>
          </m:m>
        </m:oMath>
      </m:oMathPara>
    </w:p>
    <w:bookmarkEnd w:id="62"/>
    <w:bookmarkStart w:id="63" w:name="c"/>
    <w:p>
      <w:pPr>
        <w:pStyle w:val="Heading3"/>
      </w:pPr>
      <w:r>
        <w:t xml:space="preserve">7.1.3 c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γ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θ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θ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A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γ</m:t>
                            </m:r>
                            <m:r>
                              <m:t>θ</m:t>
                            </m:r>
                          </m:e>
                        </m:d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γ</m:t>
                        </m:r>
                      </m:e>
                      <m:sup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B</m:t>
                            </m:r>
                          </m:sub>
                        </m:sSub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γ</m:t>
                        </m:r>
                        <m:r>
                          <m:t>θ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r>
                      <m:t>γ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γ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t>θ</m:t>
                        </m:r>
                      </m:e>
                    </m:d>
                    <m:r>
                      <m:t>γ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γ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γ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θ</m:t>
                    </m:r>
                  </m:e>
                </m:d>
              </m:e>
            </m:mr>
          </m:m>
        </m:oMath>
      </m:oMathPara>
    </w:p>
    <w:bookmarkEnd w:id="63"/>
    <w:bookmarkStart w:id="67" w:name="d"/>
    <w:p>
      <w:pPr>
        <w:pStyle w:val="Heading3"/>
      </w:pPr>
      <w:r>
        <w:t xml:space="preserve">7.1.4 d</w:t>
      </w:r>
    </w:p>
    <w:p>
      <w:pPr>
        <w:pStyle w:val="SourceCode"/>
      </w:pPr>
      <w:r>
        <w:rPr>
          <w:rStyle w:val="NormalTok"/>
        </w:rPr>
        <w:t xml:space="preserve">Y_a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'Exercises/menchild30bach.dat'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'Exercises/menchild30nobach.dat'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(Y_a)</w:t>
      </w:r>
      <w:r>
        <w:br/>
      </w:r>
      <w:r>
        <w:rPr>
          <w:rStyle w:val="NormalTok"/>
        </w:rPr>
        <w:t xml:space="preserve">n_b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(Y_b)</w:t>
      </w:r>
      <w:r>
        <w:br/>
      </w:r>
      <w:r>
        <w:rPr>
          <w:rStyle w:val="NormalTok"/>
        </w:rPr>
        <w:t xml:space="preserve">ybar_a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(Y_a)</w:t>
      </w:r>
      <w:r>
        <w:br/>
      </w:r>
      <w:r>
        <w:rPr>
          <w:rStyle w:val="NormalTok"/>
        </w:rPr>
        <w:t xml:space="preserve">ybar_b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(Y_b)</w:t>
      </w:r>
      <w:r>
        <w:br/>
      </w:r>
      <w:r>
        <w:br/>
      </w:r>
      <w:r>
        <w:rPr>
          <w:rStyle w:val="NormalTok"/>
        </w:rPr>
        <w:t xml:space="preserve">a_theta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b_theta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NormalTok"/>
        </w:rPr>
        <w:t xml:space="preserve">ab_gamma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theta_diff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(ab_gamma,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(abg) {</w:t>
      </w:r>
      <w:r>
        <w:br/>
      </w:r>
      <w:r>
        <w:rPr>
          <w:rStyle w:val="NormalTok"/>
        </w:rPr>
        <w:t xml:space="preserve">  a_gamma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b_gamma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abg</w:t>
      </w:r>
      <w:r>
        <w:br/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Starting values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ybar_a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ybar_a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ybar_b  </w:t>
      </w:r>
      <w:r>
        <w:rPr>
          <w:rStyle w:val="CommentTok"/>
        </w:rPr>
        <w:t xml:space="preserve"># Relative rate \theta_B / \theta_A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theta \text{dgamma}\left(a_\theta + n_A \bar{y}_A + n_B \bar{y}_B, b_\theta + n_A + n_B \gamma \right)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a_theta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ybar_b,</w:t>
      </w:r>
      <w:r>
        <w:br/>
      </w:r>
      <w:r>
        <w:rPr>
          <w:rStyle w:val="NormalTok"/>
        </w:rPr>
        <w:t xml:space="preserve">      b_theta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gamma from \text{dgamma}\left(a_\gamma + n_B\bar{y}_B, b_\gamma + n_B \theta \right)</w:t>
      </w:r>
      <w:r>
        <w:br/>
      </w:r>
      <w:r>
        <w:rPr>
          <w:rStyle w:val="NormalTok"/>
        </w:rPr>
        <w:t xml:space="preserve">    gamma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a_gamma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ybar_b,</w:t>
      </w:r>
      <w:r>
        <w:br/>
      </w:r>
      <w:r>
        <w:rPr>
          <w:rStyle w:val="NormalTok"/>
        </w:rPr>
        <w:t xml:space="preserve">      b_gamma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THETA[s]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GAMMA[s]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Reconstruct \theta_A, \theta_B</w:t>
      </w:r>
      <w:r>
        <w:br/>
      </w:r>
      <w:r>
        <w:rPr>
          <w:rStyle w:val="NormalTok"/>
        </w:rPr>
        <w:t xml:space="preserve">  THETA_A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THETA_B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GAMMA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(THETA_B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THETA_A)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ab_gamma =</w:t>
      </w:r>
      <w:r>
        <w:rPr>
          <w:rStyle w:val="NormalTok"/>
        </w:rPr>
        <w:t xml:space="preserve"> ab_gamma, </w:t>
      </w:r>
      <w:r>
        <w:rPr>
          <w:rStyle w:val="AttributeTok"/>
        </w:rPr>
        <w:t xml:space="preserve">theta_diff =</w:t>
      </w:r>
      <w:r>
        <w:rPr>
          <w:rStyle w:val="NormalTok"/>
        </w:rPr>
        <w:t xml:space="preserve"> theta_diff),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ab_gamma,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6_files/figure-docx/unnamed-chunk-14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are equal, the gamma distribution is centered</w:t>
      </w:r>
      <w:r>
        <w:t xml:space="preserve"> </w:t>
      </w:r>
      <w:r>
        <w:t xml:space="preserve">around 1 and the magnitude represents the strength of our belief that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(the proportion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) is 1. As expected, as our belief in that</w:t>
      </w:r>
      <w:r>
        <w:t xml:space="preserve"> </w:t>
      </w:r>
      <w:r>
        <w:t xml:space="preserve">increases, the mean posterior difference between</w:t>
      </w:r>
      <w: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decreases.</w:t>
      </w:r>
    </w:p>
    <w:bookmarkEnd w:id="67"/>
    <w:bookmarkEnd w:id="68"/>
    <w:bookmarkStart w:id="94" w:name="section-1"/>
    <w:p>
      <w:pPr>
        <w:pStyle w:val="Heading2"/>
      </w:pPr>
      <w:r>
        <w:t xml:space="preserve">7.2 6.2</w:t>
      </w:r>
    </w:p>
    <w:p>
      <w:pPr>
        <w:pStyle w:val="SourceCode"/>
      </w:pPr>
      <w:r>
        <w:rPr>
          <w:rStyle w:val="NormalTok"/>
        </w:rPr>
        <w:t xml:space="preserve">glucose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'Exercises/glucose.dat'</w:t>
      </w:r>
      <w:r>
        <w:rPr>
          <w:rStyle w:val="NormalTok"/>
        </w:rPr>
        <w:t xml:space="preserve">)</w:t>
      </w:r>
    </w:p>
    <w:bookmarkStart w:id="72" w:name="a-1"/>
    <w:p>
      <w:pPr>
        <w:pStyle w:val="Heading3"/>
      </w:pPr>
      <w:r>
        <w:t xml:space="preserve">7.2.1 a</w:t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(glucose,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6_files/figure-docx/unnamed-chunk-16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Appears to be skewed right significantly.</w:t>
      </w:r>
    </w:p>
    <w:bookmarkEnd w:id="72"/>
    <w:bookmarkStart w:id="79" w:name="b-1"/>
    <w:p>
      <w:pPr>
        <w:pStyle w:val="Heading3"/>
      </w:pPr>
      <w:r>
        <w:t xml:space="preserve">7.2.2 b</w:t>
      </w:r>
    </w:p>
    <w:p>
      <w:pPr>
        <w:pStyle w:val="FirstParagraph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nor/>
                    <m:sty m:val="p"/>
                  </m:rPr>
                  <m:t>dnorm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</m:mr>
          </m:m>
        </m:oMath>
      </m:oMathPara>
    </w:p>
    <w:bookmarkStart w:id="73" w:name="boldsymbolx"/>
    <w:p>
      <w:pPr>
        <w:pStyle w:val="Heading4"/>
      </w:pPr>
      <m:oMath>
        <m:r>
          <m:rPr>
            <m:sty m:val="b"/>
          </m:rPr>
          <m:t>x</m:t>
        </m:r>
      </m:oMath>
    </w:p>
    <w:p>
      <w:pPr>
        <w:pStyle w:val="FirstParagraph"/>
      </w:pPr>
      <w:r>
        <w:t xml:space="preserve">First observe the probability that a single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nor/>
                        <m:sty m:val="p"/>
                      </m:rPr>
                      <m:t>dnorm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nor/>
                        <m:sty m:val="p"/>
                      </m:rPr>
                      <m:t>dnorm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rPr>
                        <m:nor/>
                        <m:sty m:val="p"/>
                      </m:rPr>
                      <m:t>dnorm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Since this is similar for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, we know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Bernoulli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dnorm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dnorm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dnorm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den>
              </m:f>
            </m:e>
          </m:d>
        </m:oMath>
      </m:oMathPara>
    </w:p>
    <w:bookmarkEnd w:id="73"/>
    <w:bookmarkStart w:id="74" w:name="p"/>
    <w:p>
      <w:pPr>
        <w:pStyle w:val="Heading4"/>
      </w:pPr>
      <m:oMath>
        <m:r>
          <m:t>p</m:t>
        </m:r>
      </m:oMath>
    </w:p>
    <w:p>
      <w:pPr>
        <w:pStyle w:val="FirstParagraph"/>
      </w:pPr>
      <w:r>
        <w:t xml:space="preserve">For this and later calculations, let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(i.e. number of 1s in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)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(i.e. number of 0s).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∣</m:t>
                    </m:r>
                    <m:r>
                      <m:t>p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p</m:t>
                    </m:r>
                  </m:e>
                </m:d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p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dbeta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dbinom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sSup>
                  <m:e>
                    <m:r>
                      <m:t>p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p</m:t>
                    </m:r>
                  </m:e>
                  <m:sup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e>
                  <m:sup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p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dbeta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</m:m>
        </m:oMath>
      </m:oMathPara>
    </w:p>
    <w:bookmarkEnd w:id="74"/>
    <w:bookmarkStart w:id="75" w:name="theta_1"/>
    <w:p>
      <w:pPr>
        <w:pStyle w:val="Heading4"/>
      </w:pPr>
      <m:oMath>
        <m:sSub>
          <m:e>
            <m:r>
              <m:t>θ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y</m:t>
        </m:r>
        <m:r>
          <m:t> </m:t>
        </m:r>
        <m:r>
          <m:rPr>
            <m:sty m:val="p"/>
          </m:rPr>
          <m:t>:</m:t>
        </m:r>
        <m:r>
          <m:t> 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y</m:t>
        </m:r>
        <m:r>
          <m:t> </m:t>
        </m:r>
        <m:r>
          <m:rPr>
            <m:sty m:val="p"/>
          </m:rPr>
          <m:t>:</m:t>
        </m:r>
        <m:r>
          <m:t> 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dnorm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dnorm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exp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calculations from 5.2...</m:t>
                </m:r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Sup>
                  <m:e>
                    <m:r>
                      <m:t>τ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den>
                </m:f>
              </m:e>
            </m:mr>
            <m:mr>
              <m:e>
                <m:sSub>
                  <m:e>
                    <m:r>
                      <m:t>μ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τ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den>
                </m:f>
              </m:e>
            </m:mr>
          </m:m>
        </m:oMath>
      </m:oMathPara>
    </w:p>
    <w:bookmarkEnd w:id="75"/>
    <w:bookmarkStart w:id="76" w:name="theta_2"/>
    <w:p>
      <w:pPr>
        <w:pStyle w:val="Heading4"/>
      </w:pPr>
      <m:oMath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pStyle w:val="FirstParagraph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r>
          <m:rPr>
            <m:sty m:val="p"/>
          </m:rPr>
          <m:t>…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like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with the subscripts switched from 1 to 2.</w:t>
      </w:r>
    </w:p>
    <w:bookmarkEnd w:id="76"/>
    <w:bookmarkStart w:id="77" w:name="sigma2_1"/>
    <w:p>
      <w:pPr>
        <w:pStyle w:val="Heading4"/>
      </w:pP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t xml:space="preserve">As probably expected, this will look like inference for a standard normal model,</w:t>
      </w:r>
      <w:r>
        <w:t xml:space="preserve"> </w:t>
      </w:r>
      <w:r>
        <w:t xml:space="preserve">except using only the data in group 1.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nor/>
                            <m:sty m:val="p"/>
                          </m:rPr>
                          <m:t>dnorm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inverse-gamma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×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b"/>
                          </m:rP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dnorm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ν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d>
                  </m:e>
                </m:d>
                <m:r>
                  <m:rPr>
                    <m:sty m:val="p"/>
                  </m:rPr>
                  <m:t>×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calculations from 6.3...</m:t>
                </m:r>
              </m:e>
            </m:mr>
            <m:mr>
              <m:e/>
              <m:e>
                <m:r>
                  <m:rPr>
                    <m:sty m:val="p"/>
                  </m:rPr>
                  <m:t>∝</m:t>
                </m:r>
                <m:r>
                  <m:rPr>
                    <m:nor/>
                    <m:sty m:val="p"/>
                  </m:rPr>
                  <m:t>inverse-gamma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ν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ν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</m:e>
            </m:mr>
            <m:mr>
              <m:e>
                <m:sSubSup>
                  <m:e>
                    <m:r>
                      <m:t>σ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</m:mr>
          </m:m>
        </m:oMath>
      </m:oMathPara>
    </w:p>
    <w:bookmarkEnd w:id="77"/>
    <w:bookmarkStart w:id="78" w:name="sigma2_2"/>
    <w:p>
      <w:pPr>
        <w:pStyle w:val="Heading4"/>
      </w:pP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t xml:space="preserve">Same as above, but with subscripts switched.</w:t>
      </w:r>
    </w:p>
    <w:bookmarkEnd w:id="78"/>
    <w:bookmarkEnd w:id="79"/>
    <w:bookmarkStart w:id="86" w:name="c-1"/>
    <w:p>
      <w:pPr>
        <w:pStyle w:val="Heading3"/>
      </w:pPr>
      <w:r>
        <w:t xml:space="preserve">7.2.3 c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glucose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Priors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Values we'd like to store. Don't care about xs, p, sigmas</w:t>
      </w:r>
      <w:r>
        <w:br/>
      </w:r>
      <w:r>
        <w:rPr>
          <w:rStyle w:val="NormalTok"/>
        </w:rPr>
        <w:t xml:space="preserve">THETA1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THETA2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YPRED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 </w:t>
      </w:r>
      <w:r>
        <w:rPr>
          <w:rStyle w:val="CommentTok"/>
        </w:rPr>
        <w:t xml:space="preserve"># Posterior predictive</w:t>
      </w:r>
      <w:r>
        <w:br/>
      </w:r>
      <w:r>
        <w:br/>
      </w:r>
      <w:r>
        <w:rPr>
          <w:rStyle w:val="CommentTok"/>
        </w:rPr>
        <w:t xml:space="preserve"># Starting values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theta1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s21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</w:t>
      </w:r>
      <w:r>
        <w:br/>
      </w:r>
      <w:r>
        <w:br/>
      </w:r>
      <w:r>
        <w:rPr>
          <w:rStyle w:val="CommentTok"/>
        </w:rPr>
        <w:t xml:space="preserve"># Gibbs sampling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calculate dnorm for each y so p1 and p2 are vectors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theta1,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(s21))</w:t>
      </w:r>
      <w:r>
        <w:br/>
      </w:r>
      <w:r>
        <w:rPr>
          <w:rStyle w:val="NormalTok"/>
        </w:rPr>
        <w:t xml:space="preserve">  p2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theta2,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(s22))</w:t>
      </w:r>
      <w:r>
        <w:br/>
      </w:r>
      <w:r>
        <w:rPr>
          <w:rStyle w:val="NormalTok"/>
        </w:rPr>
        <w:t xml:space="preserve">  bernoulli_p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bernoulli_p)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With X sample, calcuate group-specific summary statistics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</w:t>
      </w:r>
      <w:r>
        <w:br/>
      </w:r>
      <w:r>
        <w:rPr>
          <w:rStyle w:val="NormalTok"/>
        </w:rPr>
        <w:t xml:space="preserve">  y1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ybar1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(y1)</w:t>
      </w:r>
      <w:r>
        <w:br/>
      </w:r>
      <w:r>
        <w:rPr>
          <w:rStyle w:val="NormalTok"/>
        </w:rPr>
        <w:t xml:space="preserve">  ybar2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(y2)</w:t>
      </w:r>
      <w:r>
        <w:br/>
      </w:r>
      <w:r>
        <w:rPr>
          <w:rStyle w:val="NormalTok"/>
        </w:rPr>
        <w:t xml:space="preserve">  yvar1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(y1)</w:t>
      </w:r>
      <w:r>
        <w:br/>
      </w:r>
      <w:r>
        <w:rPr>
          <w:rStyle w:val="NormalTok"/>
        </w:rPr>
        <w:t xml:space="preserve">  yvar2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p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n1,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thetas</w:t>
      </w:r>
      <w:r>
        <w:br/>
      </w:r>
      <w:r>
        <w:rPr>
          <w:rStyle w:val="NormalTok"/>
        </w:rPr>
        <w:t xml:space="preserve">  t2n1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s21)</w:t>
      </w:r>
      <w:r>
        <w:br/>
      </w:r>
      <w:r>
        <w:rPr>
          <w:rStyle w:val="NormalTok"/>
        </w:rPr>
        <w:t xml:space="preserve">  mun1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s21)</w:t>
      </w:r>
      <w:r>
        <w:br/>
      </w:r>
      <w:r>
        <w:rPr>
          <w:rStyle w:val="NormalTok"/>
        </w:rPr>
        <w:t xml:space="preserve">  theta1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mun1,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(t2n1))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t2n2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s22)</w:t>
      </w:r>
      <w:r>
        <w:br/>
      </w:r>
      <w:r>
        <w:rPr>
          <w:rStyle w:val="NormalTok"/>
        </w:rPr>
        <w:t xml:space="preserve">  mun2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ybar2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s22)</w:t>
      </w:r>
      <w:r>
        <w:br/>
      </w:r>
      <w:r>
        <w:rPr>
          <w:rStyle w:val="NormalTok"/>
        </w:rPr>
        <w:t xml:space="preserve">  theta2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mun2,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(t2n2))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sigma^2s</w:t>
      </w:r>
      <w:r>
        <w:br/>
      </w:r>
      <w:r>
        <w:rPr>
          <w:rStyle w:val="NormalTok"/>
        </w:rPr>
        <w:t xml:space="preserve">  nun1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</w:t>
      </w:r>
      <w:r>
        <w:br/>
      </w:r>
      <w:r>
        <w:rPr>
          <w:rStyle w:val="NormalTok"/>
        </w:rPr>
        <w:t xml:space="preserve">  s2n1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yvar1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theta1)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nun1</w:t>
      </w:r>
      <w:r>
        <w:br/>
      </w:r>
      <w:r>
        <w:rPr>
          <w:rStyle w:val="NormalTok"/>
        </w:rPr>
        <w:t xml:space="preserve">  s21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nun2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</w:t>
      </w:r>
      <w:r>
        <w:br/>
      </w:r>
      <w:r>
        <w:rPr>
          <w:rStyle w:val="NormalTok"/>
        </w:rPr>
        <w:t xml:space="preserve">  s2n2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yvar2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theta2)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nun2</w:t>
      </w:r>
      <w:r>
        <w:br/>
      </w:r>
      <w:r>
        <w:rPr>
          <w:rStyle w:val="NormalTok"/>
        </w:rPr>
        <w:t xml:space="preserve">  s22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s2n2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nun2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posterior predictive</w:t>
      </w:r>
      <w:r>
        <w:br/>
      </w:r>
      <w:r>
        <w:rPr>
          <w:rStyle w:val="NormalTok"/>
        </w:rPr>
        <w:t xml:space="preserve">  xpred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ypred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(xpred,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theta1,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(s21)),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theta2,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(s22)))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values</w:t>
      </w:r>
      <w:r>
        <w:br/>
      </w:r>
      <w:r>
        <w:rPr>
          <w:rStyle w:val="NormalTok"/>
        </w:rPr>
        <w:t xml:space="preserve">  THETA1[s]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theta1</w:t>
      </w:r>
      <w:r>
        <w:br/>
      </w:r>
      <w:r>
        <w:rPr>
          <w:rStyle w:val="NormalTok"/>
        </w:rPr>
        <w:t xml:space="preserve">  THETA2[s]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theta2</w:t>
      </w:r>
      <w:r>
        <w:br/>
      </w:r>
      <w:r>
        <w:rPr>
          <w:rStyle w:val="NormalTok"/>
        </w:rPr>
        <w:t xml:space="preserve">  YPRED[s]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ypred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THETAMIN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(THETA1, THETA2)</w:t>
      </w:r>
      <w:r>
        <w:br/>
      </w:r>
      <w:r>
        <w:rPr>
          <w:rStyle w:val="NormalTok"/>
        </w:rPr>
        <w:t xml:space="preserve">THETAMAX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(THETA1, THETA2)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(THETAMIN)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6_files/figure-docx/unnamed-chunk-18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(THETAMIN)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534.7286</w:t>
      </w:r>
      <w:r>
        <w:br/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(THETAMAX)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6_files/figure-docx/unnamed-chunk-18-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(THETAMAX)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227.5474</w:t>
      </w:r>
    </w:p>
    <w:p>
      <w:pPr>
        <w:pStyle w:val="FirstParagraph"/>
      </w:pPr>
      <w:r>
        <w:t xml:space="preserve">These samples are actually highly autocorrelated, hence the minimum effective</w:t>
      </w:r>
      <w:r>
        <w:t xml:space="preserve"> </w:t>
      </w:r>
      <w:r>
        <w:t xml:space="preserve">sample sizes. However, the purpose of calculating the</w:t>
      </w:r>
      <w:r>
        <w:t xml:space="preserve"> </w:t>
      </w:r>
      <w:r>
        <w:t xml:space="preserve">autocorrelation of the minimum and maximum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unclear.</w:t>
      </w:r>
    </w:p>
    <w:bookmarkEnd w:id="86"/>
    <w:bookmarkStart w:id="93" w:name="d-1"/>
    <w:p>
      <w:pPr>
        <w:pStyle w:val="Heading3"/>
      </w:pPr>
      <w:r>
        <w:t xml:space="preserve">7.2.4 d</w:t>
      </w:r>
    </w:p>
    <w:p>
      <w:pPr>
        <w:pStyle w:val="SourceCode"/>
      </w:pPr>
      <w:r>
        <w:rPr>
          <w:rStyle w:val="NormalTok"/>
        </w:rPr>
        <w:t xml:space="preserve">YCOMP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YPRED,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'predictive'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(YCOMP,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dataset))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6_files/figure-docx/unnamed-chunk-19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Based on the very close correspondence with the densities of the original and</w:t>
      </w:r>
      <w:r>
        <w:t xml:space="preserve"> </w:t>
      </w:r>
      <w:r>
        <w:t xml:space="preserve">posterior predictive dataset, it seems like this mixture model fits very well.</w:t>
      </w:r>
    </w:p>
    <w:bookmarkStart w:id="92" w:name="refs"/>
    <w:bookmarkStart w:id="91" w:name="ref-marmer_gibbs"/>
    <w:p>
      <w:pPr>
        <w:pStyle w:val="Bibliography"/>
      </w:pPr>
      <w:r>
        <w:t xml:space="preserve">Marmer, Vadim. 2010.</w:t>
      </w:r>
      <w:r>
        <w:t xml:space="preserve"> </w:t>
      </w:r>
      <w:r>
        <w:t xml:space="preserve">“The Gibbs Sampler.”</w:t>
      </w:r>
      <w:r>
        <w:t xml:space="preserve"> </w:t>
      </w:r>
      <w:hyperlink r:id="rId90">
        <w:r>
          <w:rPr>
            <w:rStyle w:val="Hyperlink"/>
          </w:rPr>
          <w:t xml:space="preserve">http://faculty.arts.ubc.ca/vmarmer/econ627/627_10_02.pdf</w:t>
        </w:r>
      </w:hyperlink>
      <w:r>
        <w:t xml:space="preserve">.</w:t>
      </w:r>
    </w:p>
    <w:bookmarkEnd w:id="91"/>
    <w:bookmarkEnd w:id="92"/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90" Target="http://faculty.arts.ubc.ca/vmarmer/econ627/627_10_0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://faculty.arts.ubc.ca/vmarmer/econ627/627_10_0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Posterior approximation with the Gibbs sampler</dc:title>
  <dc:creator>Jesse Mu</dc:creator>
  <cp:keywords/>
  <dcterms:created xsi:type="dcterms:W3CDTF">2026-02-22T05:28:06Z</dcterms:created>
  <dcterms:modified xsi:type="dcterms:W3CDTF">2026-02-22T05:28:06Z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2016-11-04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