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MathJax configuration script (not raw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text). It defines macros for both MathJax v3 (</w:t>
      </w:r>
      <w:r>
        <w:rPr>
          <w:rStyle w:val="VerbatimChar"/>
        </w:rPr>
        <w:t xml:space="preserve">MathJax.tex.macros</w:t>
      </w:r>
      <w:r>
        <w:t xml:space="preserve">) and MathJax v2 (</w:t>
      </w:r>
      <w:r>
        <w:rPr>
          <w:rStyle w:val="VerbatimChar"/>
        </w:rPr>
        <w:t xml:space="preserve">MathJax.TeX.Macros</w:t>
      </w:r>
      <w:r>
        <w:t xml:space="preserve">), so macros are available before page/slide math is typeset.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a MathJax config script. Macro names are set before typesetting.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as the same config script (including MathJax v2 support), so slide math can use the macros globally.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2026-05-08T09:31:02Z</dcterms:created>
  <dcterms:modified xsi:type="dcterms:W3CDTF">2026-05-08T09:31:02Z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