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MathJax configuration script (not raw</w:t>
      </w:r>
      <w:r>
        <w:t xml:space="preserve"> </w:t>
      </w:r>
      <w:r>
        <w:rPr>
          <w:rStyle w:val="VerbatimChar"/>
        </w:rPr>
        <w:t xml:space="preserve">$$...$$</w:t>
      </w:r>
      <w:r>
        <w:t xml:space="preserve"> </w:t>
      </w:r>
      <w:r>
        <w:t xml:space="preserve">text). It defines macros through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, so macros are available before page/slide math is typeset.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as a MathJax config script. Macro names are set in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as the same MathJax config script, so slide math can use the macros globally.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2026-05-08T08:14:19Z</dcterms:created>
  <dcterms:modified xsi:type="dcterms:W3CDTF">2026-05-08T08:14:19Z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