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revealjs</w:t>
      </w:r>
      <w:r>
        <w:t xml:space="preserve"> </w:t>
      </w:r>
      <w:r>
        <w:t xml:space="preserve">is omitted from this demo page because a Quarto website page cannot simultaneously be a RevealJS presentation. To use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with RevealJS, add a</w:t>
      </w:r>
      <w:r>
        <w:t xml:space="preserve"> </w:t>
      </w:r>
      <w:r>
        <w:rPr>
          <w:rStyle w:val="VerbatimChar"/>
        </w:rPr>
        <w:t xml:space="preserve">revealjs:</w:t>
      </w:r>
      <w:r>
        <w:t xml:space="preserve"> </w:t>
      </w:r>
      <w:r>
        <w:t xml:space="preserve">entry in a standalone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or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(see the project-wide config below).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</w:p>
    <w:p>
      <w:pPr>
        <w:pStyle w:val="FirstParagraph"/>
      </w:pPr>
      <w:r>
        <w:t xml:space="preserve">This inserts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verbatim into the document header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 definitions go into the LaTeX preamble 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HTML/RevealJS</w:t>
      </w:r>
      <w:r>
        <w:t xml:space="preserve">: MathJax processes the header — MathJax-supported commands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\renewcommand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\let</w:t>
      </w:r>
      <w:r>
        <w:t xml:space="preserve">, environments) are recognized;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is silently ignored. The example table below uses only</w:t>
      </w:r>
      <w:r>
        <w:t xml:space="preserve"> </w:t>
      </w:r>
      <w:r>
        <w:rPr>
          <w:rStyle w:val="VerbatimChar"/>
        </w:rPr>
        <w:t xml:space="preserve">\def</w:t>
      </w:r>
      <w:r>
        <w:t xml:space="preserve">-based macros.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9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2026-05-08T05:41:37Z</dcterms:created>
  <dcterms:modified xsi:type="dcterms:W3CDTF">2026-05-08T05:41:37Z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