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HTML file wrapping macros in $$...$$ for MathJax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same as 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t xml:space="preserve">For HTML and RevealJS output,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inserts content verbatim into the page. To load macros, the included file must wrap the definitions in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inside a hidden element so MathJax processes them. The file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in this repository does exactly that — it wraps the content of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&lt;div style="display:none"&gt;$$...$$&lt;/div&gt;</w:t>
      </w:r>
      <w:r>
        <w:t xml:space="preserve">. 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 (revealjs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output-file</w:t>
      </w:r>
      <w:r>
        <w:rPr>
          <w:b/>
          <w:bCs/>
        </w:rPr>
        <w:t xml:space="preserve">):</w:t>
      </w:r>
      <w:r>
        <w:t xml:space="preserve"> </w:t>
      </w:r>
      <w:r>
        <w:t xml:space="preserve">RevealJS and HTML formats both produce</w:t>
      </w:r>
      <w:r>
        <w:t xml:space="preserve"> </w:t>
      </w:r>
      <w:r>
        <w:rPr>
          <w:rStyle w:val="VerbatimChar"/>
        </w:rPr>
        <w:t xml:space="preserve">.html</w:t>
      </w:r>
      <w:r>
        <w:t xml:space="preserve"> </w:t>
      </w:r>
      <w:r>
        <w:t xml:space="preserve">output by default. When both are listed in a Quarto website document,</w:t>
      </w:r>
      <w:r>
        <w:t xml:space="preserve"> </w:t>
      </w:r>
      <w:r>
        <w:rPr>
          <w:rStyle w:val="VerbatimChar"/>
        </w:rPr>
        <w:t xml:space="preserve">output-file</w:t>
      </w:r>
      <w:r>
        <w:t xml:space="preserve"> </w:t>
      </w:r>
      <w:r>
        <w:t xml:space="preserve">gives the RevealJS output a distinct filename so there is no conflict.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into the document header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— all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HTML/RevealJS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wraps the definitions in</w:t>
      </w:r>
      <w:r>
        <w:t xml:space="preserve"> </w:t>
      </w:r>
      <w:r>
        <w:rPr>
          <w:rStyle w:val="VerbatimChar"/>
        </w:rPr>
        <w:t xml:space="preserve">$$...$$</w:t>
      </w:r>
      <w:r>
        <w:t xml:space="preserve"> </w:t>
      </w:r>
      <w:r>
        <w:t xml:space="preserve">so MathJax processes them — MathJax-supported commands (</w:t>
      </w:r>
      <w:r>
        <w:rPr>
          <w:rStyle w:val="VerbatimChar"/>
        </w:rPr>
        <w:t xml:space="preserve">\def</w:t>
      </w:r>
      <w:r>
        <w:t xml:space="preserve">,</w:t>
      </w:r>
      <w:r>
        <w:t xml:space="preserve"> </w:t>
      </w:r>
      <w:r>
        <w:rPr>
          <w:rStyle w:val="VerbatimChar"/>
        </w:rPr>
        <w:t xml:space="preserve">\newcommand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\renewcommand</w:t>
      </w:r>
      <w:r>
        <w:t xml:space="preserve">,</w:t>
      </w:r>
      <w:r>
        <w:t xml:space="preserve"> </w:t>
      </w:r>
      <w:r>
        <w:rPr>
          <w:rStyle w:val="VerbatimChar"/>
        </w:rPr>
        <w:t xml:space="preserve">\let</w:t>
      </w:r>
      <w:r>
        <w:t xml:space="preserve">, environments) are recognized;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is silently ignored. The example table below uses only</w:t>
      </w:r>
      <w:r>
        <w:t xml:space="preserve"> </w:t>
      </w:r>
      <w:r>
        <w:rPr>
          <w:rStyle w:val="VerbatimChar"/>
        </w:rPr>
        <w:t xml:space="preserve">\def</w:t>
      </w:r>
      <w:r>
        <w:t xml:space="preserve">-based macros.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$\a$</w:t>
            </w:r>
          </w:p>
        </w:tc>
        <w:tc>
          <w:tcPr/>
          <w:p>
            <w:pPr>
              <w:pStyle w:val="Compact"/>
            </w:pPr>
            <w:r>
              <w:t xml:space="preserve">$\a$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$\b$</w:t>
            </w:r>
          </w:p>
        </w:tc>
        <w:tc>
          <w:tcPr/>
          <w:p>
            <w:pPr>
              <w:pStyle w:val="Compact"/>
            </w:pPr>
            <w:r>
              <w:t xml:space="preserve">$\b$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$\g$</w:t>
            </w:r>
          </w:p>
        </w:tc>
        <w:tc>
          <w:tcPr/>
          <w:p>
            <w:pPr>
              <w:pStyle w:val="Compact"/>
            </w:pPr>
            <w:r>
              <w:t xml:space="preserve">$\g$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$\l$</w:t>
            </w:r>
          </w:p>
        </w:tc>
        <w:tc>
          <w:tcPr/>
          <w:p>
            <w:pPr>
              <w:pStyle w:val="Compact"/>
            </w:pPr>
            <w:r>
              <w:t xml:space="preserve">$\l$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$\s$</w:t>
            </w:r>
          </w:p>
        </w:tc>
        <w:tc>
          <w:tcPr/>
          <w:p>
            <w:pPr>
              <w:pStyle w:val="Compact"/>
            </w:pPr>
            <w:r>
              <w:t xml:space="preserve">$\s$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$\llik$</w:t>
            </w:r>
          </w:p>
        </w:tc>
        <w:tc>
          <w:tcPr/>
          <w:p>
            <w:pPr>
              <w:pStyle w:val="Compact"/>
            </w:pPr>
            <w:r>
              <w:t xml:space="preserve">$\llik$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 \ind Y$</w:t>
            </w:r>
          </w:p>
        </w:tc>
        <w:tc>
          <w:tcPr/>
          <w:p>
            <w:pPr>
              <w:pStyle w:val="Compact"/>
            </w:pPr>
            <w:r>
              <w:t xml:space="preserve">$X \ind Y$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$X_i \siid \Normal(\m, \ss)$</w:t>
            </w:r>
          </w:p>
        </w:tc>
        <w:tc>
          <w:tcPr/>
          <w:p>
            <w:pPr>
              <w:pStyle w:val="Compact"/>
            </w:pPr>
            <w:r>
              <w:t xml:space="preserve">$X_i \siid \Normal(\m, \ss)$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$\vm$</w:t>
            </w:r>
          </w:p>
        </w:tc>
        <w:tc>
          <w:tcPr/>
          <w:p>
            <w:pPr>
              <w:pStyle w:val="Compact"/>
            </w:pPr>
            <w:r>
              <w:t xml:space="preserve">$\vm$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$\hb$</w:t>
            </w:r>
          </w:p>
        </w:tc>
        <w:tc>
          <w:tcPr/>
          <w:p>
            <w:pPr>
              <w:pStyle w:val="Compact"/>
            </w:pPr>
            <w:r>
              <w:t xml:space="preserve">$\hb$</w:t>
            </w:r>
          </w:p>
        </w:tc>
      </w:tr>
    </w:tbl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2026-05-08T05:52:07Z</dcterms:created>
  <dcterms:modified xsi:type="dcterms:W3CDTF">2026-05-08T05:52:07Z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ngines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