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8" w:name="theorem-like-divs"/>
    <w:p>
      <w:pPr>
        <w:pStyle w:val="Heading1"/>
      </w:pPr>
      <w:r>
        <w:t xml:space="preserve">5. Theorem-like Divs</w:t>
      </w:r>
    </w:p>
    <w:bookmarkStart w:id="26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variant class name</w:t>
      </w:r>
      <w:r>
        <w:t xml:space="preserve"> </w:t>
      </w:r>
      <w:r>
        <w:rPr>
          <w:rStyle w:val="VerbatimChar"/>
        </w:rPr>
        <w:t xml:space="preserve">lemma-proof</w:t>
      </w:r>
      <w:r>
        <w:t xml:space="preserve">.</w:t>
      </w:r>
    </w:p>
    <w:bookmarkEnd w:id="26"/>
    <w:bookmarkStart w:id="27" w:name="cor-sample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This is a sample corollary-style div using the standard class name</w:t>
      </w:r>
      <w:r>
        <w:t xml:space="preserve"> </w:t>
      </w:r>
      <w:r>
        <w:rPr>
          <w:rStyle w:val="VerbatimChar"/>
        </w:rPr>
        <w:t xml:space="preserve">corollary</w:t>
      </w:r>
      <w:r>
        <w:t xml:space="preserve">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2026-04-22T05:48:41Z</dcterms:created>
  <dcterms:modified xsi:type="dcterms:W3CDTF">2026-04-22T05:48:41Z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