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22.png" ContentType="image/png"/>
  <Override PartName="/word/media/rId114.png" ContentType="image/png"/>
  <Override PartName="/word/media/rId118.png" ContentType="image/png"/>
  <Override PartName="/word/media/rId160.png" ContentType="image/png"/>
  <Override PartName="/word/media/rId254.png" ContentType="image/png"/>
  <Override PartName="/word/media/rId235.png" ContentType="image/png"/>
  <Override PartName="/word/media/rId188.png" ContentType="image/png"/>
  <Override PartName="/word/media/rId199.png" ContentType="image/png"/>
  <Override PartName="/word/media/rId194.png" ContentType="image/png"/>
  <Override PartName="/word/media/rId239.png" ContentType="image/png"/>
  <Override PartName="/word/media/rId214.png" ContentType="image/png"/>
  <Override PartName="/word/media/rId204.png" ContentType="image/png"/>
  <Override PartName="/word/media/rId209.png" ContentType="image/png"/>
  <Override PartName="/word/media/rId105.png" ContentType="image/png"/>
  <Override PartName="/word/media/rId184.png" ContentType="image/png"/>
  <Override PartName="/word/media/rId296.png" ContentType="image/png"/>
  <Override PartName="/word/media/rId302.png" ContentType="image/png"/>
  <Override PartName="/word/media/rId224.png" ContentType="image/png"/>
  <Override PartName="/word/media/rId230.png" ContentType="image/png"/>
  <Override PartName="/word/media/rId61.png" ContentType="image/png"/>
  <Override PartName="/word/media/rId110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71.png" ContentType="image/png"/>
  <Override PartName="/word/media/rId175.png" ContentType="image/png"/>
  <Override PartName="/word/media/rId65.png" ContentType="image/png"/>
  <Override PartName="/word/media/rId69.png" ContentType="image/png"/>
  <Override PartName="/word/media/rId249.png" ContentType="image/png"/>
  <Override PartName="/word/media/rId73.png" ContentType="image/png"/>
  <Override PartName="/word/media/rId271.png" ContentType="image/png"/>
  <Override PartName="/word/media/rId7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83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How do we fit a proportional hazards regression model? We need to</w:t>
      </w:r>
      <w:r>
        <w:t xml:space="preserve"> </w:t>
      </w:r>
      <w:r>
        <w:t xml:space="preserve">estimate the coefficients of the covariates, and we need to estimate the</w:t>
      </w:r>
      <w:r>
        <w:t xml:space="preserve"> </w:t>
      </w:r>
      <w:r>
        <w:t xml:space="preserve">base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For the covariates, supposing for simplicity that</w:t>
      </w:r>
      <w:r>
        <w:t xml:space="preserve"> </w:t>
      </w:r>
      <w:r>
        <w:t xml:space="preserve">there are no tied event times, let the event times for the whole data</w:t>
      </w:r>
      <w:r>
        <w:t xml:space="preserve"> </w:t>
      </w:r>
      <w:r>
        <w:t xml:space="preserve">set be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Let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Conditional on a single failure at time</w:t>
      </w:r>
      <w:r>
        <w:t xml:space="preserve"> </w:t>
      </w:r>
      <m:oMath>
        <m:r>
          <m:t>t</m:t>
        </m:r>
      </m:oMath>
      <w:r>
        <w:t xml:space="preserve">, the probability that the</w:t>
      </w:r>
      <w:r>
        <w:t xml:space="preserve"> </w:t>
      </w:r>
      <w:r>
        <w:t xml:space="preserve">event is due to subject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approximately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1 failure at 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logic behind this has several steps.</w:t>
      </w:r>
      <w:r>
        <w:t xml:space="preserve"> </w:t>
      </w:r>
      <w:r>
        <w:t xml:space="preserve">We first fix (ex post) the failure times</w:t>
      </w:r>
      <w:r>
        <w:t xml:space="preserve"> </w:t>
      </w:r>
      <w:r>
        <w:t xml:space="preserve">and note that in this discrete context,</w:t>
      </w:r>
      <w:r>
        <w:t xml:space="preserve"> </w:t>
      </w:r>
      <w:r>
        <w:t xml:space="preserve">the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that a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the risk set fails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just the hazard of that subject at that time.</w:t>
      </w:r>
    </w:p>
    <w:p>
      <w:pPr>
        <w:pStyle w:val="BodyText"/>
      </w:pPr>
      <w:r>
        <w:t xml:space="preserve">If all of the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small,</w:t>
      </w:r>
      <w:r>
        <w:t xml:space="preserve"> </w:t>
      </w:r>
      <w:r>
        <w:t xml:space="preserve">the chance that exactly one subject fails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If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one who experiences the event of interest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and we can numerically maximize this with respect to 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that specify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When there are tied event times adjustments need to be made,</w:t>
      </w:r>
      <w:r>
        <w:t xml:space="preserve"> </w:t>
      </w:r>
      <w:r>
        <w:t xml:space="preserve">but the likelihood is still similar.</w:t>
      </w:r>
      <w:r>
        <w:t xml:space="preserve"> </w:t>
      </w:r>
      <w:r>
        <w:t xml:space="preserve">Note that we don’t need to know the base hazard to solve</w:t>
      </w:r>
      <w:r>
        <w:t xml:space="preserve"> </w:t>
      </w:r>
      <w:r>
        <w:t xml:space="preserve">for the coefficients.</w:t>
      </w:r>
    </w:p>
    <w:p>
      <w:pPr>
        <w:pStyle w:val="BodyText"/>
      </w:pPr>
      <w:r>
        <w:t xml:space="preserve">Once we have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also defines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then the estimated base cumulative hazard function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which reduces to the Nelson-Aalen estimate when there are no covariates.</w:t>
      </w:r>
      <w:r>
        <w:t xml:space="preserve"> </w:t>
      </w:r>
      <w:r>
        <w:t xml:space="preserve">There are numerous other estimates that have been proposed as well.</w:t>
      </w:r>
    </w:p>
    <w:bookmarkEnd w:id="83"/>
    <w:bookmarkStart w:id="92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84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84"/>
    <w:bookmarkStart w:id="85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85"/>
    <w:bookmarkStart w:id="90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89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90"/>
    <w:bookmarkStart w:id="91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91"/>
    <w:bookmarkEnd w:id="92"/>
    <w:bookmarkStart w:id="97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93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93"/>
    <w:bookmarkStart w:id="94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94"/>
    <w:bookmarkStart w:id="95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95"/>
    <w:bookmarkStart w:id="96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96"/>
    <w:bookmarkEnd w:id="97"/>
    <w:bookmarkStart w:id="285" w:name="building-cox-proportional-hazards-models"/>
    <w:p>
      <w:pPr>
        <w:pStyle w:val="Heading1"/>
      </w:pPr>
      <w:r>
        <w:t xml:space="preserve">7. Building Cox Proportional Hazards Models</w:t>
      </w:r>
    </w:p>
    <w:bookmarkStart w:id="101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98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98"/>
    <w:bookmarkStart w:id="99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4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4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4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4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4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99"/>
    <w:bookmarkStart w:id="100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00"/>
    <w:bookmarkEnd w:id="101"/>
    <w:bookmarkStart w:id="103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02"/>
        </w:tc>
      </w:tr>
    </w:tbl>
    <w:bookmarkEnd w:id="103"/>
    <w:bookmarkStart w:id="127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04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04"/>
    <w:bookmarkStart w:id="109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08"/>
        </w:tc>
      </w:tr>
    </w:tbl>
    <w:bookmarkEnd w:id="109"/>
    <w:bookmarkStart w:id="113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1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13"/>
    <w:bookmarkStart w:id="126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17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21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25"/>
        </w:tc>
      </w:tr>
    </w:tbl>
    <w:bookmarkEnd w:id="126"/>
    <w:bookmarkEnd w:id="127"/>
    <w:bookmarkStart w:id="158" w:name="predictions-and-residuals"/>
    <w:p>
      <w:pPr>
        <w:pStyle w:val="Heading2"/>
      </w:pPr>
      <w:r>
        <w:t xml:space="preserve">7.4 Predictions and Residuals</w:t>
      </w:r>
    </w:p>
    <w:bookmarkStart w:id="128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06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7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28"/>
    <w:bookmarkStart w:id="129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08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08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29"/>
    <w:bookmarkStart w:id="130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09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09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30"/>
    <w:bookmarkStart w:id="131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0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0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0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0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0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0"/>
        </w:numPr>
      </w:pPr>
      <w:r>
        <w:t xml:space="preserve">And if there is, they are mostly quite large!</w:t>
      </w:r>
    </w:p>
    <w:bookmarkEnd w:id="131"/>
    <w:bookmarkStart w:id="133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1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1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14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bookmarkEnd w:id="133"/>
    <w:bookmarkStart w:id="15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15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3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3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3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3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3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3"/>
        </w:numPr>
      </w:pPr>
      <w:r>
        <w:t xml:space="preserve">Both the statistical tests and the plots are useful.</w:t>
      </w:r>
    </w:p>
    <w:bookmarkEnd w:id="156"/>
    <w:bookmarkEnd w:id="157"/>
    <w:bookmarkEnd w:id="158"/>
    <w:bookmarkStart w:id="16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16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16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164"/>
    <w:bookmarkStart w:id="18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17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18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4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4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4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17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1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174"/>
    <w:bookmarkStart w:id="17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17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178"/>
    <w:bookmarkStart w:id="17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179"/>
    <w:bookmarkEnd w:id="180"/>
    <w:bookmarkEnd w:id="181"/>
    <w:bookmarkStart w:id="22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18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18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bookmarkEnd w:id="18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183"/>
    <w:bookmarkStart w:id="19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18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19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192"/>
    <w:bookmarkStart w:id="22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19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19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197"/>
        </w:tc>
      </w:tr>
    </w:tbl>
    <w:p>
      <w:pPr>
        <w:pStyle w:val="BodyText"/>
      </w:pPr>
      <w:r>
        <w:t xml:space="preserve">The smallest dfbeta for graft type is observation 1.</w:t>
      </w:r>
    </w:p>
    <w:bookmarkEnd w:id="198"/>
    <w:bookmarkStart w:id="20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0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03"/>
    <w:bookmarkStart w:id="20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0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08"/>
    <w:bookmarkStart w:id="21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1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13"/>
    <w:bookmarkStart w:id="21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1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1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19"/>
    <w:bookmarkEnd w:id="220"/>
    <w:bookmarkStart w:id="22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21"/>
    <w:bookmarkStart w:id="22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6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6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16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6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22"/>
    <w:bookmarkEnd w:id="223"/>
    <w:bookmarkStart w:id="24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2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27"/>
        </w:tc>
      </w:tr>
    </w:tbl>
    <w:bookmarkEnd w:id="228"/>
    <w:bookmarkStart w:id="22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29"/>
    <w:bookmarkStart w:id="23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3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34"/>
    <w:bookmarkStart w:id="24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4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43"/>
    <w:bookmarkStart w:id="24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45"/>
    <w:bookmarkEnd w:id="246"/>
    <w:bookmarkStart w:id="262" w:name="stratified-survival-models"/>
    <w:p>
      <w:pPr>
        <w:pStyle w:val="Heading2"/>
      </w:pPr>
      <w:r>
        <w:t xml:space="preserve">7.9 Stratified survival models</w:t>
      </w:r>
    </w:p>
    <w:bookmarkStart w:id="247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247"/>
    <w:bookmarkStart w:id="253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248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248"/>
    <w:bookmarkStart w:id="252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252"/>
    <w:bookmarkEnd w:id="253"/>
    <w:bookmarkStart w:id="258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257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258"/>
    <w:bookmarkStart w:id="259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18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18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18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259"/>
    <w:bookmarkStart w:id="260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19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19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19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260"/>
    <w:bookmarkStart w:id="261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0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0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0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261"/>
    <w:bookmarkEnd w:id="262"/>
    <w:bookmarkStart w:id="276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267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263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1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263"/>
    <w:bookmarkStart w:id="264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2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2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264"/>
    <w:bookmarkStart w:id="265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3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3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265"/>
    <w:bookmarkStart w:id="266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266"/>
    <w:bookmarkEnd w:id="267"/>
    <w:bookmarkStart w:id="268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4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4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268"/>
    <w:bookmarkStart w:id="269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5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5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5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5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269"/>
    <w:bookmarkStart w:id="270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27"/>
        </w:numPr>
      </w:pPr>
      <w:r>
        <w:t xml:space="preserve">A = acute GVHD</w:t>
      </w:r>
    </w:p>
    <w:p>
      <w:pPr>
        <w:pStyle w:val="Compact"/>
        <w:numPr>
          <w:ilvl w:val="0"/>
          <w:numId w:val="1027"/>
        </w:numPr>
      </w:pPr>
      <w:r>
        <w:t xml:space="preserve">C = chronic GVHD</w:t>
      </w:r>
    </w:p>
    <w:p>
      <w:pPr>
        <w:pStyle w:val="Compact"/>
        <w:numPr>
          <w:ilvl w:val="0"/>
          <w:numId w:val="1027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28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28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28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28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28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28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270"/>
    <w:bookmarkStart w:id="274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2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274"/>
    <w:bookmarkStart w:id="275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275"/>
    <w:bookmarkEnd w:id="276"/>
    <w:bookmarkStart w:id="283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29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29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29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29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282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277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0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0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0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0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0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277"/>
    <w:bookmarkStart w:id="280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1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1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280"/>
    <w:bookmarkStart w:id="281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281"/>
    <w:bookmarkEnd w:id="282"/>
    <w:bookmarkEnd w:id="283"/>
    <w:bookmarkStart w:id="284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284"/>
    <w:bookmarkEnd w:id="285"/>
    <w:bookmarkStart w:id="312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289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6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20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286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2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2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2"/>
        </w:numPr>
      </w:pPr>
      <w:r>
        <w:t xml:space="preserve">Be lost to follow-up or reach the end of the study period (censored)</w:t>
      </w:r>
    </w:p>
    <w:bookmarkStart w:id="287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3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3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4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4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4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287"/>
    <w:bookmarkStart w:id="288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288"/>
    <w:bookmarkEnd w:id="289"/>
    <w:bookmarkStart w:id="290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6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6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37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37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37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90"/>
    <w:bookmarkStart w:id="295" w:name="summaries-for-competing-risks-data"/>
    <w:p>
      <w:pPr>
        <w:pStyle w:val="Heading3"/>
      </w:pPr>
      <w:r>
        <w:t xml:space="preserve">8.0.3 Summaries for Competing Risks Data</w:t>
      </w:r>
    </w:p>
    <w:bookmarkStart w:id="292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1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21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1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38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38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38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39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39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39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292"/>
    <w:bookmarkStart w:id="294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22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3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0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0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0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1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1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1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294"/>
    <w:bookmarkEnd w:id="295"/>
    <w:bookmarkStart w:id="308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3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3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4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4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3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01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5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5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5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mros-cif"/>
          <w:p>
            <w:pPr>
              <w:pStyle w:val="Compact"/>
              <w:jc w:val="center"/>
            </w:pPr>
            <w:bookmarkStart w:id="299" w:name="fig-mros-cif"/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9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00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6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6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01"/>
    <w:bookmarkStart w:id="307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ros-cif-vs-naive"/>
          <w:p>
            <w:pPr>
              <w:pStyle w:val="Compact"/>
              <w:jc w:val="center"/>
            </w:pPr>
            <w:bookmarkStart w:id="305" w:name="fig-mros-cif-vs-naive"/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0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06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07"/>
    <w:bookmarkEnd w:id="308"/>
    <w:bookmarkStart w:id="311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09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47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47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47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48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48"/>
        </w:numPr>
      </w:pPr>
      <w:r>
        <w:t xml:space="preserve">Interpretation can be challenging when effects differ across event types</w:t>
      </w:r>
    </w:p>
    <w:bookmarkEnd w:id="309"/>
    <w:bookmarkStart w:id="310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49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49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49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10"/>
    <w:bookmarkEnd w:id="311"/>
    <w:bookmarkEnd w:id="312"/>
    <w:bookmarkStart w:id="333" w:name="references"/>
    <w:p>
      <w:pPr>
        <w:pStyle w:val="Heading1"/>
      </w:pPr>
      <w:r>
        <w:t xml:space="preserve">References</w:t>
      </w:r>
    </w:p>
    <w:bookmarkStart w:id="332" w:name="refs"/>
    <w:bookmarkStart w:id="314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13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14"/>
    <w:bookmarkStart w:id="31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16"/>
    <w:bookmarkStart w:id="317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17"/>
    <w:bookmarkStart w:id="31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9"/>
    <w:bookmarkStart w:id="321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20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21"/>
    <w:bookmarkStart w:id="323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22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23"/>
    <w:bookmarkStart w:id="32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2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25"/>
    <w:bookmarkStart w:id="32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2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27"/>
    <w:bookmarkStart w:id="329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28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29"/>
    <w:bookmarkStart w:id="3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22" Target="media/rId122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60" Target="media/rId160.png" /><Relationship Type="http://schemas.openxmlformats.org/officeDocument/2006/relationships/image" Id="rId254" Target="media/rId254.png" /><Relationship Type="http://schemas.openxmlformats.org/officeDocument/2006/relationships/image" Id="rId235" Target="media/rId235.png" /><Relationship Type="http://schemas.openxmlformats.org/officeDocument/2006/relationships/image" Id="rId188" Target="media/rId188.png" /><Relationship Type="http://schemas.openxmlformats.org/officeDocument/2006/relationships/image" Id="rId199" Target="media/rId199.png" /><Relationship Type="http://schemas.openxmlformats.org/officeDocument/2006/relationships/image" Id="rId194" Target="media/rId194.png" /><Relationship Type="http://schemas.openxmlformats.org/officeDocument/2006/relationships/image" Id="rId239" Target="media/rId239.png" /><Relationship Type="http://schemas.openxmlformats.org/officeDocument/2006/relationships/image" Id="rId214" Target="media/rId214.png" /><Relationship Type="http://schemas.openxmlformats.org/officeDocument/2006/relationships/image" Id="rId204" Target="media/rId204.png" /><Relationship Type="http://schemas.openxmlformats.org/officeDocument/2006/relationships/image" Id="rId209" Target="media/rId209.png" /><Relationship Type="http://schemas.openxmlformats.org/officeDocument/2006/relationships/image" Id="rId105" Target="media/rId105.png" /><Relationship Type="http://schemas.openxmlformats.org/officeDocument/2006/relationships/image" Id="rId184" Target="media/rId184.png" /><Relationship Type="http://schemas.openxmlformats.org/officeDocument/2006/relationships/image" Id="rId296" Target="media/rId296.png" /><Relationship Type="http://schemas.openxmlformats.org/officeDocument/2006/relationships/image" Id="rId302" Target="media/rId302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61" Target="media/rId61.png" /><Relationship Type="http://schemas.openxmlformats.org/officeDocument/2006/relationships/image" Id="rId110" Target="media/rId110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49" Target="media/rId249.png" /><Relationship Type="http://schemas.openxmlformats.org/officeDocument/2006/relationships/image" Id="rId73" Target="media/rId73.png" /><Relationship Type="http://schemas.openxmlformats.org/officeDocument/2006/relationships/image" Id="rId271" Target="media/rId271.png" /><Relationship Type="http://schemas.openxmlformats.org/officeDocument/2006/relationships/image" Id="rId77" Target="media/rId77.png" /><Relationship Type="http://schemas.openxmlformats.org/officeDocument/2006/relationships/image" Id="rId86" Target="media/rId86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2026-07-02T07:50:25Z</dcterms:created>
  <dcterms:modified xsi:type="dcterms:W3CDTF">2026-07-02T07:50:25Z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