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36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14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rPr>
          <w:b/>
          <w:bCs/>
        </w:rPr>
        <w:t xml:space="preserve">Odds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 equals odds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of a non-event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θ</m:t>
              </m:r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Odds ratios are reversible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ORs are reversible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4"/>
    <w:bookmarkStart w:id="15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as inverse-odds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Complement of inverse-odds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15"/>
    <w:bookmarkStart w:id="18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from probability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expanded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from log-odds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Probability from log-odds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Expit expressions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</w:p>
    <w:p>
      <w:pPr>
        <w:pStyle w:val="BodyText"/>
      </w:pPr>
      <w:bookmarkStart w:id="16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6"/>
    </w:p>
    <w:p>
      <w:pPr>
        <w:pStyle w:val="FirstParagraph"/>
      </w:pPr>
      <w:r>
        <w:rPr>
          <w:b/>
          <w:bCs/>
        </w:rPr>
        <w:t xml:space="preserve">Logit and expit are inverses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 logistic regression link and inverse link functions</w:t>
            </w:r>
          </w:p>
          <w:bookmarkEnd w:id="17"/>
        </w:tc>
      </w:tr>
    </w:tbl>
    <w:bookmarkEnd w:id="18"/>
    <w:bookmarkStart w:id="19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19"/>
    <w:bookmarkStart w:id="20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ω</m:t>
                </m:r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r>
                  <m:rPr>
                    <m:scr m:val="double-struck"/>
                    <m:sty m:val="p"/>
                  </m:rPr>
                  <m:t>I</m:t>
                </m:r>
              </m:e>
              <m:e>
                <m:r>
                  <m:rPr>
                    <m:sty m:val="b"/>
                  </m:rPr>
                  <m:t>0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ω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r>
                  <m:rPr>
                    <m:sty m:val="b"/>
                  </m:rPr>
                  <m:t>0</m:t>
                </m:r>
              </m:e>
              <m:e>
                <m:r>
                  <m:rPr>
                    <m:scr m:val="double-struck"/>
                    <m:sty m:val="p"/>
                  </m:rPr>
                  <m:t>I</m:t>
                </m:r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denominators.</w:t>
      </w:r>
    </w:p>
    <w:bookmarkEnd w:id="20"/>
    <w:bookmarkStart w:id="21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Score component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e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e</m:t>
              </m:r>
            </m:e>
          </m:acc>
        </m:oMath>
      </m:oMathPara>
    </w:p>
    <w:bookmarkEnd w:id="21"/>
    <w:bookmarkStart w:id="22" w:name="mle"/>
    <w:p>
      <w:pPr>
        <w:pStyle w:val="Heading2"/>
      </w:pPr>
      <w:r>
        <w:t xml:space="preserve">MLE</w:t>
      </w:r>
    </w:p>
    <w:p>
      <w:pPr>
        <w:pStyle w:val="FirstParagraph"/>
      </w:pPr>
      <w:r>
        <w:rPr>
          <w:b/>
          <w:bCs/>
        </w:rPr>
        <w:t xml:space="preserve">One-sample MLE for odds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22"/>
    <w:bookmarkStart w:id="23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23"/>
    <w:bookmarkStart w:id="24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</m:e>
          </m:eqArr>
        </m:oMath>
      </m:oMathPara>
    </w:p>
    <w:bookmarkEnd w:id="24"/>
    <w:bookmarkStart w:id="25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RRD equals RR minus 1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25"/>
    <w:bookmarkStart w:id="26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bookmarkEnd w:id="26"/>
    <w:bookmarkStart w:id="35" w:name="survival-analysis"/>
    <w:p>
      <w:pPr>
        <w:pStyle w:val="Heading2"/>
      </w:pPr>
      <w:r>
        <w:t xml:space="preserve">4.2 Survival analysis</w:t>
      </w:r>
    </w:p>
    <w:bookmarkStart w:id="2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</w:p>
              </w:tc>
            </w:tr>
          </w:tbl>
          <w:bookmarkEnd w:id="27"/>
          <w:p/>
        </w:tc>
      </w:tr>
    </w:tbl>
    <w:bookmarkEnd w:id="28"/>
    <w:bookmarkStart w:id="2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29"/>
    <w:bookmarkStart w:id="3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30"/>
    <w:bookmarkStart w:id="3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t>K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2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Proportional hazards assumption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Cumulative hazard factorization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Log-hazard decomposition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Linear predictor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Hazard multiplier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Hazard ratio definition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Hazard ratio formula</w:t>
            </w:r>
          </w:p>
        </w:tc>
      </w:tr>
    </w:tbl>
    <w:bookmarkEnd w:id="32"/>
    <w:bookmarkStart w:id="33" w:name="X6cc64e62901cef265da9fb3886f4a9df0654e88"/>
    <w:p>
      <w:pPr>
        <w:pStyle w:val="Heading3"/>
      </w:pPr>
      <w:r>
        <w:t xml:space="preserve">4.2.6 Proportional hazards model partial likelihood formula: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nary>
            </m:e>
          </m:eqArr>
        </m:oMath>
      </m:oMathPara>
    </w:p>
    <w:bookmarkEnd w:id="33"/>
    <w:bookmarkStart w:id="34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t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2026-07-02T00:33:31Z</dcterms:created>
  <dcterms:modified xsi:type="dcterms:W3CDTF">2026-07-02T00:33:31Z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