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 of Regression Modeling Concepts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17d196f311f77ae71c6a68d34a7a7ec6c02c86"/>
    <w:p>
      <w:pPr>
        <w:pStyle w:val="Heading1"/>
      </w:pPr>
      <w:r>
        <w:t xml:space="preserve">1. We use different probability models for different data types</w:t>
      </w:r>
    </w:p>
    <w:p>
      <w:pPr>
        <w:pStyle w:val="Compact"/>
        <w:numPr>
          <w:ilvl w:val="0"/>
          <w:numId w:val="1001"/>
        </w:numPr>
      </w:pPr>
      <w:r>
        <w:t xml:space="preserve">Binary outcomes: Bernoulli models</w:t>
      </w:r>
    </w:p>
    <w:p>
      <w:pPr>
        <w:pStyle w:val="Compact"/>
        <w:numPr>
          <w:ilvl w:val="0"/>
          <w:numId w:val="1001"/>
        </w:numPr>
      </w:pPr>
      <w:r>
        <w:t xml:space="preserve">Event rate outcomes: Poisson/Negative binomial models</w:t>
      </w:r>
    </w:p>
    <w:p>
      <w:pPr>
        <w:pStyle w:val="Compact"/>
        <w:numPr>
          <w:ilvl w:val="0"/>
          <w:numId w:val="1001"/>
        </w:numPr>
      </w:pPr>
      <w:r>
        <w:t xml:space="preserve">Time-to-event outcomes: Survival models</w:t>
      </w:r>
    </w:p>
    <w:p>
      <w:pPr>
        <w:pStyle w:val="Compact"/>
        <w:numPr>
          <w:ilvl w:val="0"/>
          <w:numId w:val="1001"/>
        </w:numPr>
      </w:pPr>
      <w:r>
        <w:t xml:space="preserve">Catch-all: Gaussian models</w:t>
      </w:r>
    </w:p>
    <w:bookmarkEnd w:id="9"/>
    <w:bookmarkStart w:id="14" w:name="X8562c8db48d7fa25ea19a62a1dae1398893990c"/>
    <w:p>
      <w:pPr>
        <w:pStyle w:val="Heading1"/>
      </w:pPr>
      <w:r>
        <w:t xml:space="preserve">2. We use different link functions to connect these models with covariates</w:t>
      </w:r>
    </w:p>
    <w:p>
      <w:pPr>
        <w:pStyle w:val="Compact"/>
        <w:numPr>
          <w:ilvl w:val="0"/>
          <w:numId w:val="1002"/>
        </w:numPr>
      </w:pPr>
      <w:r>
        <w:t xml:space="preserve">Bernoulli models: logit link</w:t>
      </w:r>
    </w:p>
    <w:p>
      <w:pPr>
        <w:pStyle w:val="Compact"/>
        <w:numPr>
          <w:ilvl w:val="0"/>
          <w:numId w:val="1002"/>
        </w:numPr>
      </w:pPr>
      <w:r>
        <w:t xml:space="preserve">Count models: log link + offset</w:t>
      </w:r>
    </w:p>
    <w:p>
      <w:pPr>
        <w:pStyle w:val="Compact"/>
        <w:numPr>
          <w:ilvl w:val="0"/>
          <w:numId w:val="1002"/>
        </w:numPr>
      </w:pPr>
      <w:r>
        <w:t xml:space="preserve">Survival models: log link</w:t>
      </w:r>
    </w:p>
    <w:p>
      <w:pPr>
        <w:pStyle w:val="Compact"/>
        <w:numPr>
          <w:ilvl w:val="0"/>
          <w:numId w:val="1002"/>
        </w:numPr>
      </w:pPr>
      <w:r>
        <w:t xml:space="preserve">Gaussian models: identity link</w:t>
      </w:r>
    </w:p>
    <w:p>
      <w:pPr>
        <w:pStyle w:val="FirstParagraph"/>
      </w:pPr>
      <w:hyperlink w:anchor="fig-model-diagram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how the various models we have studied</w:t>
      </w:r>
      <w:r>
        <w:t xml:space="preserve"> </w:t>
      </w:r>
      <w:r>
        <w:t xml:space="preserve">have analogous structures.</w:t>
      </w:r>
      <w:r>
        <w:t xml:space="preserve"> </w:t>
      </w:r>
      <w:r>
        <w:t xml:space="preserve">To do: convert this sketch into a nicely formatted figure.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model-diagrams"/>
          <w:p>
            <w:pPr>
              <w:pStyle w:val="Compact"/>
              <w:jc w:val="center"/>
            </w:pPr>
            <w:r>
              <w:drawing>
                <wp:inline>
                  <wp:extent cx="5334000" cy="4016188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s/PXL_20250530_231155564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6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Parallel Model Structures</w:t>
            </w:r>
          </w:p>
          <w:bookmarkEnd w:id="13"/>
        </w:tc>
      </w:tr>
    </w:tbl>
    <w:bookmarkEnd w:id="14"/>
    <w:bookmarkStart w:id="15" w:name="Xc3099c67c29afffd1262ecea75e085f92e21212"/>
    <w:p>
      <w:pPr>
        <w:pStyle w:val="Heading1"/>
      </w:pPr>
      <w:r>
        <w:t xml:space="preserve">3. We use maximum likelihood estimation to fit models to data</w:t>
      </w:r>
    </w:p>
    <w:p>
      <w:pPr>
        <w:pStyle w:val="Compact"/>
        <w:numPr>
          <w:ilvl w:val="0"/>
          <w:numId w:val="1003"/>
        </w:numPr>
      </w:pPr>
      <w:r>
        <w:t xml:space="preserve">likelihood</w:t>
      </w:r>
    </w:p>
    <w:p>
      <w:pPr>
        <w:pStyle w:val="Compact"/>
        <w:numPr>
          <w:ilvl w:val="0"/>
          <w:numId w:val="1003"/>
        </w:numPr>
      </w:pPr>
      <w:r>
        <w:t xml:space="preserve">log-likelihood</w:t>
      </w:r>
    </w:p>
    <w:p>
      <w:pPr>
        <w:pStyle w:val="Compact"/>
        <w:numPr>
          <w:ilvl w:val="0"/>
          <w:numId w:val="1003"/>
        </w:numPr>
      </w:pPr>
      <w:r>
        <w:t xml:space="preserve">score function</w:t>
      </w:r>
    </w:p>
    <w:p>
      <w:pPr>
        <w:pStyle w:val="Compact"/>
        <w:numPr>
          <w:ilvl w:val="0"/>
          <w:numId w:val="1003"/>
        </w:numPr>
      </w:pPr>
      <w:r>
        <w:t xml:space="preserve">hessian</w:t>
      </w:r>
    </w:p>
    <w:bookmarkEnd w:id="15"/>
    <w:bookmarkStart w:id="16" w:name="X1c9769e7215bdd02c9d57072e0a186a93c9d0ae"/>
    <w:p>
      <w:pPr>
        <w:pStyle w:val="Heading1"/>
      </w:pPr>
      <w:r>
        <w:t xml:space="preserve">4. We use asymptotic normality of MLEs to quantify uncertainty about models</w:t>
      </w:r>
    </w:p>
    <w:p>
      <w:pPr>
        <w:pStyle w:val="Compact"/>
        <w:numPr>
          <w:ilvl w:val="0"/>
          <w:numId w:val="1004"/>
        </w:numPr>
      </w:pPr>
      <w:r>
        <w:t xml:space="preserve">observed information matrix</w:t>
      </w:r>
    </w:p>
    <w:p>
      <w:pPr>
        <w:pStyle w:val="Compact"/>
        <w:numPr>
          <w:ilvl w:val="0"/>
          <w:numId w:val="1004"/>
        </w:numPr>
      </w:pPr>
      <w:r>
        <w:t xml:space="preserve">expected information matrix</w:t>
      </w:r>
    </w:p>
    <w:p>
      <w:pPr>
        <w:pStyle w:val="Compact"/>
        <w:numPr>
          <w:ilvl w:val="0"/>
          <w:numId w:val="1004"/>
        </w:numPr>
      </w:pPr>
      <w:r>
        <w:t xml:space="preserve">standard error</w:t>
      </w:r>
    </w:p>
    <w:p>
      <w:pPr>
        <w:pStyle w:val="Compact"/>
        <w:numPr>
          <w:ilvl w:val="0"/>
          <w:numId w:val="1004"/>
        </w:numPr>
      </w:pPr>
      <w:r>
        <w:t xml:space="preserve">confidence intervals</w:t>
      </w:r>
    </w:p>
    <w:p>
      <w:pPr>
        <w:pStyle w:val="Compact"/>
        <w:numPr>
          <w:ilvl w:val="0"/>
          <w:numId w:val="1004"/>
        </w:numPr>
      </w:pPr>
      <w:r>
        <w:t xml:space="preserve">p-values</w:t>
      </w:r>
    </w:p>
    <w:bookmarkEnd w:id="16"/>
    <w:bookmarkStart w:id="17" w:name="X91aeae81472a85e36e15aefa4616fba0df33778"/>
    <w:p>
      <w:pPr>
        <w:pStyle w:val="Heading1"/>
      </w:pPr>
      <w:r>
        <w:t xml:space="preserve">5. We use (log) likelihood ratios to compare models</w:t>
      </w:r>
    </w:p>
    <w:p>
      <w:pPr>
        <w:pStyle w:val="FirstParagraph"/>
      </w:pPr>
      <w:r>
        <w:t xml:space="preserve">Sometimes we adjust these comparisons for model size (AIC, BIC)</w:t>
      </w:r>
    </w:p>
    <w:bookmarkEnd w:id="17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Regression Modeling Concepts</dc:title>
  <dc:creator/>
  <cp:keywords/>
  <dcterms:created xsi:type="dcterms:W3CDTF">2026-04-21T07:03:20Z</dcterms:created>
  <dcterms:modified xsi:type="dcterms:W3CDTF">2026-04-21T07:03:20Z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