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1.png" ContentType="image/png"/>
  <Override PartName="/word/media/rId36.png" ContentType="image/png"/>
  <Override PartName="/word/media/rId41.png" ContentType="image/png"/>
  <Override PartName="/word/media/rId46.png" ContentType="image/png"/>
  <Override PartName="/word/media/rId51.png" ContentType="image/png"/>
  <Override PartName="/word/media/rId56.png" ContentType="image/png"/>
  <Override PartName="/word/media/rId61.png" ContentType="image/png"/>
  <Override PartName="/word/media/rId6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19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15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r>
        <w:t xml:space="preserve">binomial</w:t>
      </w:r>
    </w:p>
    <w:p>
      <w:pPr>
        <w:pStyle w:val="Compact"/>
        <w:numPr>
          <w:ilvl w:val="1"/>
          <w:numId w:val="1002"/>
        </w:numPr>
      </w:pPr>
      <w:r>
        <w:t xml:space="preserve">Poisson</w:t>
      </w:r>
    </w:p>
    <w:p>
      <w:pPr>
        <w:pStyle w:val="Compact"/>
        <w:numPr>
          <w:ilvl w:val="1"/>
          <w:numId w:val="1002"/>
        </w:numPr>
      </w:pPr>
      <w:r>
        <w:t xml:space="preserve">Gaussian</w:t>
      </w:r>
    </w:p>
    <w:p>
      <w:pPr>
        <w:pStyle w:val="Compact"/>
        <w:numPr>
          <w:ilvl w:val="1"/>
          <w:numId w:val="1002"/>
        </w:numPr>
      </w:pPr>
      <w:r>
        <w:t xml:space="preserve">exponential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r>
        <w:t xml:space="preserve">Mean, median, mode, quantiles</w:t>
      </w:r>
    </w:p>
    <w:p>
      <w:pPr>
        <w:pStyle w:val="Compact"/>
        <w:numPr>
          <w:ilvl w:val="1"/>
          <w:numId w:val="1004"/>
        </w:numPr>
      </w:pPr>
      <w:r>
        <w:t xml:space="preserve">Variance, standard deviation, overdispersion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r>
        <w:t xml:space="preserve">independence, dependence, covariance, correlation</w:t>
      </w:r>
    </w:p>
    <w:p>
      <w:pPr>
        <w:pStyle w:val="Compact"/>
        <w:numPr>
          <w:ilvl w:val="1"/>
          <w:numId w:val="1006"/>
        </w:numPr>
      </w:pPr>
      <w:r>
        <w:t xml:space="preserve">ranks, order statistics</w:t>
      </w:r>
    </w:p>
    <w:p>
      <w:pPr>
        <w:pStyle w:val="Compact"/>
        <w:numPr>
          <w:ilvl w:val="1"/>
          <w:numId w:val="1006"/>
        </w:numPr>
      </w:pPr>
      <w:r>
        <w:t xml:space="preserve">identical 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r>
        <w:t xml:space="preserve">Central Limit Theorem for the mean of an iid sample</w:t>
      </w:r>
    </w:p>
    <w:bookmarkEnd w:id="15"/>
    <w:bookmarkStart w:id="16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 maximum likelihood inference framework:</w:t>
      </w:r>
    </w:p>
    <w:p>
      <w:pPr>
        <w:pStyle w:val="Compact"/>
        <w:numPr>
          <w:ilvl w:val="1"/>
          <w:numId w:val="1008"/>
        </w:numPr>
      </w:pPr>
      <w:r>
        <w:t xml:space="preserve">likelihood functions</w:t>
      </w:r>
    </w:p>
    <w:p>
      <w:pPr>
        <w:pStyle w:val="Compact"/>
        <w:numPr>
          <w:ilvl w:val="1"/>
          <w:numId w:val="1008"/>
        </w:numPr>
      </w:pPr>
      <w:r>
        <w:t xml:space="preserve">log-likelihood functions</w:t>
      </w:r>
    </w:p>
    <w:p>
      <w:pPr>
        <w:pStyle w:val="Compact"/>
        <w:numPr>
          <w:ilvl w:val="1"/>
          <w:numId w:val="1008"/>
        </w:numPr>
      </w:pPr>
      <w:r>
        <w:t xml:space="preserve">score functions</w:t>
      </w:r>
    </w:p>
    <w:p>
      <w:pPr>
        <w:pStyle w:val="Compact"/>
        <w:numPr>
          <w:ilvl w:val="1"/>
          <w:numId w:val="1008"/>
        </w:numPr>
      </w:pPr>
      <w:r>
        <w:t xml:space="preserve">estimating equations</w:t>
      </w:r>
    </w:p>
    <w:p>
      <w:pPr>
        <w:pStyle w:val="Compact"/>
        <w:numPr>
          <w:ilvl w:val="1"/>
          <w:numId w:val="1008"/>
        </w:numPr>
      </w:pPr>
      <w:r>
        <w:t xml:space="preserve">information matrices</w:t>
      </w:r>
    </w:p>
    <w:p>
      <w:pPr>
        <w:pStyle w:val="Compact"/>
        <w:numPr>
          <w:ilvl w:val="1"/>
          <w:numId w:val="1008"/>
        </w:numPr>
      </w:pPr>
      <w:r>
        <w:t xml:space="preserve">point estimates</w:t>
      </w:r>
    </w:p>
    <w:p>
      <w:pPr>
        <w:pStyle w:val="Compact"/>
        <w:numPr>
          <w:ilvl w:val="1"/>
          <w:numId w:val="1008"/>
        </w:numPr>
      </w:pPr>
      <w:r>
        <w:t xml:space="preserve">standard errors</w:t>
      </w:r>
    </w:p>
    <w:p>
      <w:pPr>
        <w:pStyle w:val="Compact"/>
        <w:numPr>
          <w:ilvl w:val="1"/>
          <w:numId w:val="1008"/>
        </w:numPr>
      </w:pPr>
      <w:r>
        <w:t xml:space="preserve">confidence intervals</w:t>
      </w:r>
    </w:p>
    <w:p>
      <w:pPr>
        <w:pStyle w:val="Compact"/>
        <w:numPr>
          <w:ilvl w:val="1"/>
          <w:numId w:val="1008"/>
        </w:numPr>
      </w:pPr>
      <w:r>
        <w:t xml:space="preserve">hypothesis tests</w:t>
      </w:r>
    </w:p>
    <w:p>
      <w:pPr>
        <w:pStyle w:val="Compact"/>
        <w:numPr>
          <w:ilvl w:val="1"/>
          <w:numId w:val="1008"/>
        </w:numPr>
      </w:pPr>
      <w:r>
        <w:t xml:space="preserve">p-values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r>
        <w:t xml:space="preserve">t-tests/ANOVA for Gaussian models</w:t>
      </w:r>
    </w:p>
    <w:p>
      <w:pPr>
        <w:pStyle w:val="Compact"/>
        <w:numPr>
          <w:ilvl w:val="1"/>
          <w:numId w:val="1010"/>
        </w:numPr>
      </w:pPr>
      <w:r>
        <w:t xml:space="preserve">chi-square tests 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r>
        <w:t xml:space="preserve">Fisher’s exact test for contingency tables</w:t>
      </w:r>
    </w:p>
    <w:p>
      <w:pPr>
        <w:pStyle w:val="Compact"/>
        <w:numPr>
          <w:ilvl w:val="2"/>
          <w:numId w:val="1011"/>
        </w:numPr>
      </w:pPr>
      <w:r>
        <w:t xml:space="preserve">Cochran–Mantel–Haenszel-Cox log-rank test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16"/>
    <w:bookmarkStart w:id="18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r>
        <w:t xml:space="preserve">regression diagnostics</w:t>
      </w:r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17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18"/>
    <w:bookmarkEnd w:id="19"/>
    <w:bookmarkStart w:id="20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bookmarkEnd w:id="20"/>
    <w:bookmarkStart w:id="76" w:name="motivations-for-regression-models"/>
    <w:p>
      <w:pPr>
        <w:pStyle w:val="Heading1"/>
      </w:pPr>
      <w:r>
        <w:t xml:space="preserve">5.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especially when subgroups are defined using continuous predictors</w:t>
            </w:r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bookmarkStart w:id="30" w:name="uses-of-regression-models"/>
    <w:p>
      <w:pPr>
        <w:pStyle w:val="Heading2"/>
      </w:pPr>
      <w:r>
        <w:t xml:space="preserve">5.1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24" w:name="relating-the-two-lists"/>
    <w:p>
      <w:pPr>
        <w:pStyle w:val="Heading3"/>
      </w:pPr>
      <w:r>
        <w:t xml:space="preserve">5.1.1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 confounding,</w:t>
      </w:r>
      <w:r>
        <w:t xml:space="preserve"> </w:t>
      </w:r>
      <w:r>
        <w:t xml:space="preserve">mediation, and the causal structure of the data.</w:t>
      </w:r>
    </w:p>
    <w:bookmarkEnd w:id="24"/>
    <w:bookmarkStart w:id="29" w:name="sec-pred-inf-causal"/>
    <w:p>
      <w:pPr>
        <w:pStyle w:val="Heading3"/>
      </w:pPr>
      <w:r>
        <w:t xml:space="preserve">5.1.2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25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r>
        <w:rPr>
          <w:b/>
          <w:bCs/>
        </w:rPr>
        <w:t xml:space="preserve">Statistical inference</w:t>
      </w:r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 confidence interval quantifying uncertainty about the magnitude of that association.</w:t>
            </w:r>
          </w:p>
          <w:bookmarkEnd w:id="26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27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potential outcomes 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r>
        <w:t xml:space="preserve">individual causal effects 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r>
        <w:rPr>
          <w:b/>
          <w:bCs/>
        </w:rPr>
        <w:t xml:space="preserve">confounding</w:t>
      </w:r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28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29"/>
    <w:bookmarkEnd w:id="30"/>
    <w:bookmarkStart w:id="35" w:name="example-adelie-penguins"/>
    <w:p>
      <w:pPr>
        <w:pStyle w:val="Heading2"/>
      </w:pPr>
      <w:r>
        <w:t xml:space="preserve">5.2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34"/>
        </w:tc>
      </w:tr>
    </w:tbl>
    <w:bookmarkEnd w:id="35"/>
    <w:bookmarkStart w:id="40" w:name="linear-regression"/>
    <w:p>
      <w:pPr>
        <w:pStyle w:val="Heading2"/>
      </w:pPr>
      <w:r>
        <w:t xml:space="preserve">5.3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39"/>
        </w:tc>
      </w:tr>
    </w:tbl>
    <w:bookmarkEnd w:id="40"/>
    <w:bookmarkStart w:id="45" w:name="curved-regression-lines"/>
    <w:p>
      <w:pPr>
        <w:pStyle w:val="Heading2"/>
      </w:pPr>
      <w:r>
        <w:t xml:space="preserve">5.4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44"/>
        </w:tc>
      </w:tr>
    </w:tbl>
    <w:bookmarkEnd w:id="45"/>
    <w:bookmarkStart w:id="50" w:name="multiple-regression"/>
    <w:p>
      <w:pPr>
        <w:pStyle w:val="Heading2"/>
      </w:pPr>
      <w:r>
        <w:t xml:space="preserve">5.5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49"/>
        </w:tc>
      </w:tr>
    </w:tbl>
    <w:bookmarkEnd w:id="50"/>
    <w:bookmarkStart w:id="55" w:name="modeling-non-gaussian-outcomes"/>
    <w:p>
      <w:pPr>
        <w:pStyle w:val="Heading2"/>
      </w:pPr>
      <w:r>
        <w:t xml:space="preserve">5.6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xlab(bquote(log[10]), bquote(CS[2]))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</w:t>
            </w:r>
          </w:p>
          <w:bookmarkEnd w:id="54"/>
        </w:tc>
      </w:tr>
    </w:tbl>
    <w:bookmarkEnd w:id="55"/>
    <w:bookmarkStart w:id="60" w:name="why-dont-we-use-linear-regression"/>
    <w:p>
      <w:pPr>
        <w:pStyle w:val="Heading2"/>
      </w:pPr>
      <w:r>
        <w:t xml:space="preserve">5.7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59"/>
        </w:tc>
      </w:tr>
    </w:tbl>
    <w:bookmarkEnd w:id="60"/>
    <w:bookmarkStart w:id="65" w:name="zoom-out"/>
    <w:p>
      <w:pPr>
        <w:pStyle w:val="Heading2"/>
      </w:pPr>
      <w:r>
        <w:t xml:space="preserve">5.8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64"/>
        </w:tc>
      </w:tr>
    </w:tbl>
    <w:bookmarkEnd w:id="65"/>
    <w:bookmarkStart w:id="70" w:name="log-transformation-of-dose"/>
    <w:p>
      <w:pPr>
        <w:pStyle w:val="Heading2"/>
      </w:pPr>
      <w:r>
        <w:t xml:space="preserve">5.9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69"/>
        </w:tc>
      </w:tr>
    </w:tbl>
    <w:bookmarkEnd w:id="70"/>
    <w:bookmarkStart w:id="75" w:name="logistic-regression"/>
    <w:p>
      <w:pPr>
        <w:pStyle w:val="Heading2"/>
      </w:pPr>
      <w:r>
        <w:t xml:space="preserve">5.10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74"/>
        </w:tc>
      </w:tr>
    </w:tbl>
    <w:bookmarkEnd w:id="75"/>
    <w:bookmarkEnd w:id="76"/>
    <w:bookmarkStart w:id="89" w:name="structure-of-regression-models"/>
    <w:p>
      <w:pPr>
        <w:pStyle w:val="Heading1"/>
      </w:pPr>
      <w:r>
        <w:t xml:space="preserve">6.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(Outcome)</w:t>
            </w:r>
            <w:r>
              <w:t xml:space="preserve"> </w:t>
            </w:r>
            <w:r>
              <w:t xml:space="preserve">The outcome variable 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The outcome variable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(Predictors)</w:t>
            </w:r>
            <w:r>
              <w:t xml:space="preserve"> </w:t>
            </w:r>
            <w:r>
              <w:t xml:space="preserve">The predictor variables 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81"/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Common pairings of terms for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4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8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Binomial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inverse: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88"/>
          <w:p/>
        </w:tc>
      </w:tr>
    </w:tbl>
    <w:p>
      <w:r>
        <w:pict>
          <v:rect style="width:0;height:1.5pt" o:hralign="center" o:hrstd="t" o:hr="t"/>
        </w:pict>
      </w:r>
    </w:p>
    <w:bookmarkEnd w:id="89"/>
    <w:bookmarkStart w:id="91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5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bookmarkEnd w:id="91"/>
    <w:bookmarkStart w:id="113" w:name="references"/>
    <w:p>
      <w:pPr>
        <w:pStyle w:val="Heading1"/>
      </w:pPr>
      <w:r>
        <w:t xml:space="preserve">References</w:t>
      </w:r>
    </w:p>
    <w:bookmarkStart w:id="112" w:name="refs"/>
    <w:bookmarkStart w:id="93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92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93"/>
    <w:bookmarkStart w:id="9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5"/>
    <w:bookmarkStart w:id="9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9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97"/>
    <w:bookmarkStart w:id="99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99"/>
    <w:bookmarkStart w:id="10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1"/>
    <w:bookmarkStart w:id="10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0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03"/>
    <w:bookmarkStart w:id="105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104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105"/>
    <w:bookmarkStart w:id="10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0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07"/>
    <w:bookmarkStart w:id="10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09"/>
    <w:bookmarkStart w:id="111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</w:t>
      </w:r>
      <w:r>
        <w:t xml:space="preserve"> </w:t>
      </w:r>
      <w:hyperlink r:id="rId110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indicates 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82">
        <w:r>
          <w:rPr>
            <w:rStyle w:val="Hyperlink"/>
          </w:rPr>
          <w:t xml:space="preserve">the appendices</w:t>
        </w:r>
      </w:hyperlink>
      <w:r>
        <w:t xml:space="preserve"> </w:t>
      </w:r>
      <w:r>
        <w:t xml:space="preserve">for a table of notation used in these notes.</w:t>
      </w:r>
    </w:p>
  </w:footnote>
  <w:footnote w:id="8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6" Target="media/rId56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2026-08-20T01:55:32Z</dcterms:created>
  <dcterms:modified xsi:type="dcterms:W3CDTF">2026-08-20T01:55:32Z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