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54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(Vittinghoff et al. 2012, chap. 9)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(2020)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2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Regression models 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(Holland 1986)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r>
        <w:rPr>
          <w:b/>
          <w:bCs/>
        </w:rPr>
        <w:t xml:space="preserve">potential outcomes</w:t>
      </w:r>
      <w:r>
        <w:t xml:space="preserve"> </w:t>
      </w:r>
      <w:r>
        <w:t xml:space="preserve">model</w:t>
      </w:r>
      <w:r>
        <w:t xml:space="preserve"> </w:t>
      </w:r>
      <w:r>
        <w:t xml:space="preserve">(Rubin 1974; Holland 1986)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 causal estimands</w:t>
      </w:r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End w:id="12"/>
    <w:bookmarkStart w:id="16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 potential outcome 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(Holland 1986)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is sometimes called 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15"/>
        </w:tc>
      </w:tr>
    </w:tbl>
    <w:bookmarkEnd w:id="16"/>
    <w:bookmarkStart w:id="20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 individual causal effects 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 estimands</w:t>
      </w:r>
      <w:r>
        <w:t xml:space="preserve">:</w:t>
      </w:r>
      <w:r>
        <w:t xml:space="preserve"> </w:t>
      </w:r>
      <w:r>
        <w:t xml:space="preserve">averages of potential outcomes over a 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 expected 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19"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 independent of potential outcomes</w:t>
      </w:r>
      <w:r>
        <w:t xml:space="preserve"> </w:t>
      </w:r>
      <w:r>
        <w:t xml:space="preserve">(e.g., in a perfectly conducted randomized trial):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20"/>
    <w:bookmarkStart w:id="27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(Hernán and Robins 2020)</w:t>
      </w:r>
      <w:r>
        <w:t xml:space="preserve">:</w:t>
      </w:r>
    </w:p>
    <w:bookmarkStart w:id="22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 observed outcome for a treated unit equals</w:t>
            </w:r>
            <w:r>
              <w:t xml:space="preserve"> </w:t>
            </w:r>
            <w:r>
              <w:t xml:space="preserve">that unit’s potential outcome 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 bias.</w:t>
            </w:r>
          </w:p>
          <w:bookmarkEnd w:id="21"/>
        </w:tc>
      </w:tr>
    </w:tbl>
    <w:bookmarkEnd w:id="22"/>
    <w:bookmarkStart w:id="24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i/>
                <w:iCs/>
              </w:rPr>
              <w:t xml:space="preserve">no unmeasured confounding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treatment assignment is independent 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Intuitively, this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 randomized trials.</w:t>
            </w:r>
            <w:r>
              <w:t xml:space="preserve"> </w:t>
            </w:r>
            <w:r>
              <w:rPr>
                <w:b/>
                <w:bCs/>
              </w:rPr>
              <w:t xml:space="preserve">Conditional exchangeability</w:t>
            </w:r>
            <w:r>
              <w:t xml:space="preserve"> </w:t>
            </w:r>
            <w:r>
              <w:t xml:space="preserve">requires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</w:p>
          <w:bookmarkEnd w:id="23"/>
        </w:tc>
      </w:tr>
    </w:tbl>
    <w:bookmarkEnd w:id="24"/>
    <w:bookmarkStart w:id="26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9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conditional on their covariate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nor/>
                    <m:sty m:val="p"/>
                  </m:rPr>
                  <m:t> in the support of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 counterfactual outcome</w:t>
            </w:r>
            <w:r>
              <w:t xml:space="preserve"> </w:t>
            </w:r>
            <w:r>
              <w:t xml:space="preserve">for those subgroups.</w:t>
            </w:r>
            <w:r>
              <w:t xml:space="preserve"> </w:t>
            </w:r>
            <w:r>
              <w:t xml:space="preserve">This is sometimes called the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practical positivity violation</w:t>
            </w:r>
            <w:r>
              <w:t xml:space="preserve"> </w:t>
            </w:r>
            <w:r>
              <w:t xml:space="preserve">when near-zero probabilities occur in small strata.</w:t>
            </w:r>
          </w:p>
          <w:bookmarkEnd w:id="25"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26"/>
    <w:bookmarkEnd w:id="27"/>
    <w:bookmarkStart w:id="30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r>
        <w:t xml:space="preserve">independent of any characteristics of the participants.</w:t>
      </w:r>
      <w:r>
        <w:t xml:space="preserve"> </w:t>
      </w:r>
      <w:r>
        <w:t xml:space="preserve">This makes the treatment groups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:</w:t>
      </w:r>
      <w:r>
        <w:t xml:space="preserve"> </w:t>
      </w:r>
      <w:r>
        <w:t xml:space="preserve">the distribution of potential outcomes 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 observed mean difference between treatment groups</w:t>
      </w:r>
      <w:r>
        <w:t xml:space="preserve"> </w:t>
      </w:r>
      <w:r>
        <w:t xml:space="preserve">is an unbiased estimate of the ATE: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 confounding.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28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 exchangeable 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 observational studies 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(Hulley et al. 1998)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 significant 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(relative hazard 0.99; 95% CI: 0.80–1.22)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3"/>
        </w:numPr>
      </w:pPr>
      <w:r>
        <w:t xml:space="preserve">LDL cholesterol: 11% lower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HDL cholesterol: 10% higher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 mediator 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(1998)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28"/>
    <w:bookmarkStart w:id="29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 confounding,</w:t>
      </w:r>
      <w:r>
        <w:t xml:space="preserve"> </w:t>
      </w:r>
      <w:r>
        <w:t xml:space="preserve">adjusting for baseline covariates in an RCT can still be useful: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Improved precision</w:t>
      </w:r>
      <w:r>
        <w:t xml:space="preserve">: Adjusting for strong predictors of the outcome</w:t>
      </w:r>
      <w:r>
        <w:t xml:space="preserve"> </w:t>
      </w:r>
      <w:r>
        <w:t xml:space="preserve">reduces residual variance and narrows confidence intervals.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29"/>
    <w:bookmarkEnd w:id="30"/>
    <w:bookmarkStart w:id="59" w:name="sec-causal-observational"/>
    <w:p>
      <w:pPr>
        <w:pStyle w:val="Heading1"/>
      </w:pPr>
      <w:r>
        <w:t xml:space="preserve">6. Observational Studies</w:t>
      </w:r>
    </w:p>
    <w:p>
      <w:pPr>
        <w:pStyle w:val="FirstParagraph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 outcome —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</w:p>
    <w:bookmarkStart w:id="32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10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In the potential outcomes framework,</w:t>
            </w:r>
            <w:r>
              <w:t xml:space="preserve"> </w:t>
            </w:r>
            <w:r>
              <w:t xml:space="preserve">confounding means that treatment assignment is not independent</w:t>
            </w:r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Directed Acyclic Graphs (DAGs)</w:t>
      </w:r>
      <w:r>
        <w:t xml:space="preserve"> </w:t>
      </w:r>
      <w:r>
        <w:t xml:space="preserve">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 confounders, mediators, colliders,</w:t>
      </w:r>
      <w:r>
        <w:t xml:space="preserve"> </w:t>
      </w:r>
      <w:r>
        <w:t xml:space="preserve">and sufficient adjustment sets.</w:t>
      </w:r>
    </w:p>
    <w:bookmarkEnd w:id="32"/>
    <w:bookmarkStart w:id="33" w:name="sec-pred-sel-dag"/>
    <w:p>
      <w:pPr>
        <w:pStyle w:val="Heading2"/>
      </w:pPr>
      <w:r>
        <w:t xml:space="preserve">6.2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05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06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confounders</w:t>
      </w:r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06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06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33"/>
    <w:bookmarkStart w:id="38" w:name="sec-pred-sel-dag-concepts"/>
    <w:p>
      <w:pPr>
        <w:pStyle w:val="Heading2"/>
      </w:pPr>
      <w:r>
        <w:t xml:space="preserve">6.3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11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contrast,</w:t>
            </w:r>
            <w:r>
              <w:t xml:space="preserve"> </w:t>
            </w:r>
            <w:r>
              <w:t xml:space="preserve">a mediator 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 confounding bias.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12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13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collider opens a non-causal (backdoor)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introducing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.</w:t>
            </w:r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14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No variable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7"/>
        </w:tc>
      </w:tr>
    </w:tbl>
    <w:bookmarkEnd w:id="38"/>
    <w:bookmarkStart w:id="44" w:name="sec-pred-sel-hers-dag"/>
    <w:p>
      <w:pPr>
        <w:pStyle w:val="Heading2"/>
      </w:pPr>
      <w:r>
        <w:t xml:space="preserve">6.4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 risk.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her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</w:t>
            </w:r>
          </w:p>
          <w:p>
            <w:pPr>
              <w:jc w:val="center"/>
            </w:pPr>
            <w:r>
              <w:t xml:space="preserve">Data dictionary for key HERS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Hormone-therapy assignment (placebo vs estrogen+progestin)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Recurrent 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diabetes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diabetes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LDL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statins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statin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her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HT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[pos="2,2"]</w:t>
            </w:r>
            <w:r>
              <w:br/>
            </w:r>
            <w:r>
              <w:rPr>
                <w:rStyle w:val="StringTok"/>
              </w:rPr>
              <w:t xml:space="preserve">    smoking [pos="-1,-2"]</w:t>
            </w:r>
            <w:r>
              <w:br/>
            </w:r>
            <w:r>
              <w:rPr>
                <w:rStyle w:val="StringTok"/>
              </w:rPr>
              <w:t xml:space="preserve">    diabetes [pos="1,-1.5"]</w:t>
            </w:r>
            <w:r>
              <w:br/>
            </w:r>
            <w:r>
              <w:rPr>
                <w:rStyle w:val="StringTok"/>
              </w:rPr>
              <w:t xml:space="preserve">    BMI [pos="-1,1"]</w:t>
            </w:r>
            <w:r>
              <w:br/>
            </w:r>
            <w:r>
              <w:rPr>
                <w:rStyle w:val="StringTok"/>
              </w:rPr>
              <w:t xml:space="preserve">    LDL [pos="2,1"]</w:t>
            </w:r>
            <w:r>
              <w:br/>
            </w:r>
            <w:r>
              <w:rPr>
                <w:rStyle w:val="StringTok"/>
              </w:rPr>
              <w:t xml:space="preserve">    HDL [pos="2,-1"]</w:t>
            </w:r>
            <w:r>
              <w:br/>
            </w:r>
            <w:r>
              <w:rPr>
                <w:rStyle w:val="StringTok"/>
              </w:rPr>
              <w:t xml:space="preserve">    statins [pos="3,2"]</w:t>
            </w:r>
            <w:r>
              <w:br/>
            </w:r>
            <w:r>
              <w:rPr>
                <w:rStyle w:val="StringTok"/>
              </w:rPr>
              <w:t xml:space="preserve">    SBP [pos="3,-2"]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HT -&gt; CHD</w:t>
            </w:r>
            <w:r>
              <w:br/>
            </w:r>
            <w:r>
              <w:rPr>
                <w:rStyle w:val="StringTok"/>
              </w:rPr>
              <w:t xml:space="preserve">    HT -&gt; HDL</w:t>
            </w:r>
            <w:r>
              <w:br/>
            </w:r>
            <w:r>
              <w:rPr>
                <w:rStyle w:val="StringTok"/>
              </w:rPr>
              <w:t xml:space="preserve">    HT -&gt; LDL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smoking -&gt; HDL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diabetes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  BMI -&gt; LDL</w:t>
            </w:r>
            <w:r>
              <w:br/>
            </w:r>
            <w:r>
              <w:rPr>
                <w:rStyle w:val="StringTok"/>
              </w:rPr>
              <w:t xml:space="preserve">    diabetes -&gt; CHD</w:t>
            </w:r>
            <w:r>
              <w:br/>
            </w:r>
            <w:r>
              <w:rPr>
                <w:rStyle w:val="StringTok"/>
              </w:rPr>
              <w:t xml:space="preserve">    diabetes -&gt; LDL</w:t>
            </w:r>
            <w:r>
              <w:br/>
            </w:r>
            <w:r>
              <w:rPr>
                <w:rStyle w:val="StringTok"/>
              </w:rPr>
              <w:t xml:space="preserve">    LDL -&gt; CHD</w:t>
            </w:r>
            <w:r>
              <w:br/>
            </w:r>
            <w:r>
              <w:rPr>
                <w:rStyle w:val="StringTok"/>
              </w:rPr>
              <w:t xml:space="preserve">    HDL -&gt; CHD</w:t>
            </w:r>
            <w:r>
              <w:br/>
            </w:r>
            <w:r>
              <w:rPr>
                <w:rStyle w:val="StringTok"/>
              </w:rPr>
              <w:t xml:space="preserve">    statins -&gt; LDL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(hers_dag)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1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Directed Acyclic Graph (DAG) for the HERS study.</w:t>
            </w:r>
            <w:r>
              <w:t xml:space="preserve"> </w:t>
            </w:r>
            <w:r>
              <w:rPr>
                <w:rStyle w:val="VerbatimChar"/>
              </w:rPr>
              <w:t xml:space="preserve">HT</w:t>
            </w:r>
            <w:r>
              <w:t xml:space="preserve"> </w:t>
            </w:r>
            <w:r>
              <w:t xml:space="preserve">= hormone therapy (exposure);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recurrent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HDL</w:t>
            </w:r>
            <w:r>
              <w:t xml:space="preserve"> </w:t>
            </w:r>
            <w:r>
              <w:t xml:space="preserve">= high-density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LDL</w:t>
            </w:r>
            <w:r>
              <w:t xml:space="preserve"> </w:t>
            </w:r>
            <w:r>
              <w:t xml:space="preserve">= low-density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43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09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44"/>
    <w:bookmarkStart w:id="46" w:name="sec-pred-sel-hers-adjust"/>
    <w:p>
      <w:pPr>
        <w:pStyle w:val="Heading2"/>
      </w:pPr>
      <w:r>
        <w:t xml:space="preserve">6.5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hers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adjustmentSets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hers_dag,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"minimal"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{}</w:t>
            </w:r>
          </w:p>
          <w:bookmarkEnd w:id="45"/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 backdoor paths 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46"/>
    <w:bookmarkStart w:id="52" w:name="sec-pred-sel-hers-ldl"/>
    <w:p>
      <w:pPr>
        <w:pStyle w:val="Heading2"/>
      </w:pPr>
      <w:r>
        <w:t xml:space="preserve">6.6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 predictor selection.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hers-ldl-ful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table for LDL analysis variables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2,752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1,379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HT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LDL 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(119, 165)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27.7 (24.6,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27.6 (24.5,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27.9 (24.7, 31.8)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727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350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377 (27%)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355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998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516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482 (35%)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47"/>
        </w:tc>
      </w:tr>
    </w:tbl>
    <w:bookmarkStart w:id="49" w:name="unadjusted-model"/>
    <w:p>
      <w:pPr>
        <w:pStyle w:val="Heading3"/>
      </w:pPr>
      <w:r>
        <w:t xml:space="preserve">6.6.1 Unadjusted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hers-ldl-un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Unadjusted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-2.5, 3.2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48"/>
        </w:tc>
      </w:tr>
    </w:tbl>
    <w:bookmarkEnd w:id="49"/>
    <w:bookmarkStart w:id="51" w:name="adjusted-model"/>
    <w:p>
      <w:pPr>
        <w:pStyle w:val="Heading3"/>
      </w:pPr>
      <w:r>
        <w:t xml:space="preserve">6.6.2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 randomized trial,</w:t>
      </w:r>
      <w:r>
        <w:t xml:space="preserve"> </w:t>
      </w:r>
      <w:r>
        <w:t xml:space="preserve">treatment assignment is independent of pre-treatment covariates,</w:t>
      </w:r>
      <w:r>
        <w:t xml:space="preserve"> </w:t>
      </w:r>
      <w:r>
        <w:t xml:space="preserve">so confounding adjustment is not required to estimate the causal effect.</w:t>
      </w:r>
      <w:r>
        <w:t xml:space="preserve"> </w:t>
      </w:r>
      <w:r>
        <w:t xml:space="preserve">However, adjusting for strong predictors of the outcome</w:t>
      </w:r>
      <w:r>
        <w:t xml:space="preserve"> </w:t>
      </w:r>
      <w:r>
        <w:t xml:space="preserve">can improve precision.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50"/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51"/>
    <w:bookmarkEnd w:id="52"/>
    <w:bookmarkStart w:id="58" w:name="sec-pred-sel-wcgs-dag"/>
    <w:p>
      <w:pPr>
        <w:pStyle w:val="Heading2"/>
      </w:pPr>
      <w:r>
        <w:t xml:space="preserve">6.7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 confounding of the treatment-outcome relationship is not a concern.</w:t>
      </w:r>
      <w:r>
        <w:t xml:space="preserve"> </w:t>
      </w:r>
      <w:r>
        <w:t xml:space="preserve">To illustrate DAG-guided confounder 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 risk</w:t>
      </w:r>
      <w:r>
        <w:t xml:space="preserve"> </w:t>
      </w:r>
      <w:r>
        <w:t xml:space="preserve">independently of classic cardiovascular risk factors.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</w:t>
            </w:r>
          </w:p>
          <w:p>
            <w:pPr>
              <w:jc w:val="center"/>
            </w:pPr>
            <w:r>
              <w:t xml:space="preserve">Data dictionary for key WCGS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personality_type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Personality type (Type A vs Type B behavior pattern)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Serum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5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wcgs-da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personality_type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[pos="1.4,2"]</w:t>
            </w:r>
            <w:r>
              <w:br/>
            </w:r>
            <w:r>
              <w:rPr>
                <w:rStyle w:val="StringTok"/>
              </w:rPr>
              <w:t xml:space="preserve">    bmi [pos="-0.3,1.1"]</w:t>
            </w:r>
            <w:r>
              <w:br/>
            </w:r>
            <w:r>
              <w:rPr>
                <w:rStyle w:val="StringTok"/>
              </w:rPr>
              <w:t xml:space="preserve">    smoking [pos="1.1,-1.8"]</w:t>
            </w:r>
            <w:r>
              <w:br/>
            </w:r>
            <w:r>
              <w:rPr>
                <w:rStyle w:val="StringTok"/>
              </w:rPr>
              <w:t xml:space="preserve">    chol [pos="2.7,1"]</w:t>
            </w:r>
            <w:r>
              <w:br/>
            </w:r>
            <w:r>
              <w:rPr>
                <w:rStyle w:val="StringTok"/>
              </w:rPr>
              <w:t xml:space="preserve">    sbp [pos="2.8,-1.2"]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personality_type -&gt; CHD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age -&gt; chol</w:t>
            </w:r>
            <w:r>
              <w:br/>
            </w:r>
            <w:r>
              <w:rPr>
                <w:rStyle w:val="StringTok"/>
              </w:rPr>
              <w:t xml:space="preserve">    age -&gt; sbp</w:t>
            </w:r>
            <w:r>
              <w:br/>
            </w:r>
            <w:r>
              <w:rPr>
                <w:rStyle w:val="StringTok"/>
              </w:rPr>
              <w:t xml:space="preserve">    age -&gt; bmi</w:t>
            </w:r>
            <w:r>
              <w:br/>
            </w:r>
            <w:r>
              <w:rPr>
                <w:rStyle w:val="StringTok"/>
              </w:rPr>
              <w:t xml:space="preserve">    age -&gt; personality_type</w:t>
            </w:r>
            <w:r>
              <w:br/>
            </w:r>
            <w:r>
              <w:rPr>
                <w:rStyle w:val="StringTok"/>
              </w:rPr>
              <w:t xml:space="preserve">    personality_type -&gt; smoking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chol -&gt; CHD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chol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(wcgs_dag)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Directed Acyclic Graph (DAG) for the WCGS study.</w:t>
            </w:r>
            <w:r>
              <w:t xml:space="preserve"> </w:t>
            </w:r>
            <w:r>
              <w:rPr>
                <w:rStyle w:val="VerbatimChar"/>
              </w:rPr>
              <w:t xml:space="preserve">personality_type</w:t>
            </w:r>
            <w:r>
              <w:t xml:space="preserve"> </w:t>
            </w:r>
            <w:r>
              <w:t xml:space="preserve">= personality type (exposure; Type A vs Type B);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chol</w:t>
            </w:r>
            <w:r>
              <w:t xml:space="preserve"> </w:t>
            </w:r>
            <w:r>
              <w:t xml:space="preserve">= serum cholesterol;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57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 mediator 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 backdoor paths 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58"/>
    <w:bookmarkEnd w:id="59"/>
    <w:bookmarkStart w:id="64" w:name="sec-causal-regression"/>
    <w:p>
      <w:pPr>
        <w:pStyle w:val="Heading1"/>
      </w:pPr>
      <w:r>
        <w:t xml:space="preserve">7. Regression Adjustment</w:t>
      </w:r>
    </w:p>
    <w:p>
      <w:pPr>
        <w:pStyle w:val="FirstParagraph"/>
      </w:pPr>
      <w:r>
        <w:t xml:space="preserve">Under the causal assumptions</w:t>
      </w:r>
      <w:r>
        <w:t xml:space="preserve"> </w:t>
      </w:r>
      <w:r>
        <w:t xml:space="preserve">(consistency, conditional exchangeability, and positivity),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 confounders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in a regression model.</w:t>
      </w:r>
    </w:p>
    <w:bookmarkStart w:id="60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 ATE by:</w:t>
      </w:r>
    </w:p>
    <w:p>
      <w:pPr>
        <w:numPr>
          <w:ilvl w:val="0"/>
          <w:numId w:val="1010"/>
        </w:numPr>
      </w:pPr>
      <w:r>
        <w:t xml:space="preserve">Fitting a regression model: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l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e>
            </m:d>
            <m:r>
              <m:t>​</m:t>
            </m:r>
          </m:e>
        </m:acc>
      </m:oMath>
    </w:p>
    <w:p>
      <w:pPr>
        <w:numPr>
          <w:ilvl w:val="0"/>
          <w:numId w:val="1010"/>
        </w:numPr>
      </w:pPr>
      <w:r>
        <w:t xml:space="preserve">Predicting the potential outcome 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0"/>
        </w:numPr>
      </w:pPr>
      <w:r>
        <w:t xml:space="preserve">Averaging over the study population: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0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 biased causal estimates</w:t>
      </w:r>
      <w:r>
        <w:t xml:space="preserve"> </w:t>
      </w:r>
      <w:r>
        <w:t xml:space="preserve">even if confounders 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1"/>
        </w:numPr>
      </w:pPr>
      <w:r>
        <w:t xml:space="preserve">Binary outcomes (using logistic regression)</w:t>
      </w:r>
    </w:p>
    <w:p>
      <w:pPr>
        <w:pStyle w:val="Compact"/>
        <w:numPr>
          <w:ilvl w:val="0"/>
          <w:numId w:val="1011"/>
        </w:numPr>
      </w:pPr>
      <w:r>
        <w:t xml:space="preserve">Survival outcomes (using Cox or Weibull models)</w:t>
      </w:r>
    </w:p>
    <w:p>
      <w:pPr>
        <w:pStyle w:val="Compact"/>
        <w:numPr>
          <w:ilvl w:val="0"/>
          <w:numId w:val="1011"/>
        </w:numPr>
      </w:pPr>
      <w:r>
        <w:t xml:space="preserve">Multiple treatments or treatment levels</w:t>
      </w:r>
    </w:p>
    <w:bookmarkEnd w:id="60"/>
    <w:bookmarkStart w:id="61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 outcome is continuous</w:t>
      </w:r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 linear regression: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L</m:t>
              </m:r>
            </m:e>
          </m:acc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Under consistency, conditional exchangeability,</w:t>
      </w:r>
      <w:r>
        <w:t xml:space="preserve"> </w:t>
      </w:r>
      <w:r>
        <w:t xml:space="preserve">and positivity,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(the ATE, if the model is correctly specified</w:t>
      </w:r>
      <w:r>
        <w:t xml:space="preserve"> </w:t>
      </w:r>
      <w:r>
        <w:t xml:space="preserve">and effect modification by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is absent).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61"/>
    <w:bookmarkStart w:id="63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 predictors of LDL</w:t>
      </w:r>
      <w:r>
        <w:t xml:space="preserve"> </w:t>
      </w:r>
      <w:r>
        <w:t xml:space="preserve">improves precision: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tbl-causa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Adjusted regression for the causal effect of HT on LDL in HERS.</w:t>
            </w:r>
            <w:r>
              <w:t xml:space="preserve"> </w:t>
            </w:r>
            <w:r>
              <w:t xml:space="preserve">Since HT was randomized, adjustment is for precision only.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62"/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 confidence intervals than the unadjusted estimate.</w:t>
      </w:r>
    </w:p>
    <w:bookmarkEnd w:id="63"/>
    <w:bookmarkEnd w:id="64"/>
    <w:bookmarkStart w:id="74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 confounding adjustment in observational studies.</w:t>
      </w:r>
      <w:r>
        <w:t xml:space="preserve"> </w:t>
      </w:r>
      <w:r>
        <w:t xml:space="preserve">They replace adjustment for a high-dimensional confounder set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15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</w:t>
            </w:r>
            <w:r>
              <w:t xml:space="preserve"> </w:t>
            </w:r>
            <w:r>
              <w:t xml:space="preserve">given the observed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Rosenbaum and Rubin (1983)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(conditional exchangeability 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That is, the propensity score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65"/>
        </w:tc>
      </w:tr>
    </w:tbl>
    <w:bookmarkStart w:id="66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 covariates,</w:t>
      </w:r>
      <w:r>
        <w:t xml:space="preserve"> </w:t>
      </w:r>
      <w:r>
        <w:t xml:space="preserve">typically using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 estimated propensity score</w:t>
      </w:r>
      <w:r>
        <w:t xml:space="preserve"> </w:t>
      </w:r>
      <m:oMath>
        <m:acc>
          <m:accPr>
            <m:chr m:val="̂"/>
          </m:accPr>
          <m:e>
            <m:r>
              <m:t>e</m:t>
            </m:r>
          </m:e>
        </m:acc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L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predicted probability of treatment for each individual.</w:t>
      </w:r>
    </w:p>
    <w:bookmarkEnd w:id="66"/>
    <w:bookmarkStart w:id="68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 quantiles.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below.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 covariate</w:t>
      </w:r>
      <w:r>
        <w:t xml:space="preserve"> </w:t>
      </w:r>
      <w:r>
        <w:t xml:space="preserve">in a regression model for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16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ATE uses weights: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Reweighting by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 independent of covariates,</w:t>
            </w:r>
            <w:r>
              <w:t xml:space="preserve"> </w:t>
            </w:r>
            <w:r>
              <w:t xml:space="preserve">effectively removing confounding.</w:t>
            </w:r>
          </w:p>
          <w:bookmarkEnd w:id="67"/>
        </w:tc>
      </w:tr>
    </w:tbl>
    <w:bookmarkEnd w:id="68"/>
    <w:bookmarkStart w:id="73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 logistic regression model</w:t>
      </w:r>
      <w:r>
        <w:t xml:space="preserve"> </w:t>
      </w:r>
      <w:r>
        <w:t xml:space="preserve">predicting Type A behavior from the confounders</w:t>
      </w:r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6.7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ps-wcg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(wcgs_ps,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(dibpat_A)))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"Personality type"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propensity score"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"Propensity score distributions by personality type (WCGS)"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7-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estimated propensity scores</w:t>
            </w:r>
            <w:r>
              <w:t xml:space="preserve"> </w:t>
            </w:r>
            <w:r>
              <w:t xml:space="preserve">by personality type in the WCGS study.</w:t>
            </w:r>
            <w:r>
              <w:t xml:space="preserve"> </w:t>
            </w:r>
            <w:r>
              <w:t xml:space="preserve">Good overlap between the two groups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common support</w:t>
            </w:r>
            <w:r>
              <w:t xml:space="preserve"> </w:t>
            </w:r>
            <w:r>
              <w:t xml:space="preserve">assumption)</w:t>
            </w:r>
            <w:r>
              <w:t xml:space="preserve"> </w:t>
            </w:r>
            <w:r>
              <w:t xml:space="preserve">supports positivity.</w:t>
            </w:r>
          </w:p>
          <w:bookmarkEnd w:id="72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(gtsummary)</w:t>
      </w:r>
      <w:r>
        <w:br/>
      </w:r>
      <w:r>
        <w:br/>
      </w:r>
      <w:r>
        <w:rPr>
          <w:rStyle w:val="NormalTok"/>
        </w:rPr>
        <w:t xml:space="preserve">outcome_ipw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chd69_yn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dibpat_A,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ipw,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quasibinomial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outcome_ipw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bold_labels</w:t>
      </w:r>
      <w:r>
        <w:rPr>
          <w:rStyle w:val="NormalTok"/>
        </w:rPr>
        <w:t xml:space="preserve">()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dibpat_A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1.48, 2.53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 confounding 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73"/>
    <w:bookmarkEnd w:id="74"/>
    <w:bookmarkStart w:id="75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r>
        <w:rPr>
          <w:b/>
          <w:bCs/>
        </w:rPr>
        <w:t xml:space="preserve">Potential outcomes</w:t>
      </w:r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 individual causal effect 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 ATE, ATT, ATU 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: The observed outcome 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Exchangeability</w:t>
      </w:r>
      <w:r>
        <w:t xml:space="preserve">: Treatment assignment is independent</w:t>
      </w:r>
      <w:r>
        <w:t xml:space="preserve"> </w:t>
      </w:r>
      <w:r>
        <w:t xml:space="preserve">of potential outcomes, given measured confounders.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r>
        <w:rPr>
          <w:b/>
          <w:bCs/>
        </w:rPr>
        <w:t xml:space="preserve">Randomized experiments</w:t>
      </w:r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 confounding violates exchangeability.</w:t>
      </w:r>
      <w:r>
        <w:t xml:space="preserve"> </w:t>
      </w:r>
      <w:r>
        <w:t xml:space="preserve">DAGs help identify which variables are confounders, mediators,</w:t>
      </w:r>
      <w:r>
        <w:t xml:space="preserve"> </w:t>
      </w:r>
      <w:r>
        <w:t xml:space="preserve">and colliders, and the backdoor criterion 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 regression adjustment (G-computation)</w:t>
      </w:r>
      <w:r>
        <w:t xml:space="preserve"> </w:t>
      </w:r>
      <w:r>
        <w:t xml:space="preserve">and propensity score methods (matching, stratification, IPW) —</w:t>
      </w:r>
      <w:r>
        <w:t xml:space="preserve"> </w:t>
      </w:r>
      <w:r>
        <w:t xml:space="preserve">can recover causal estimates under the three assumptions above.</w:t>
      </w:r>
    </w:p>
    <w:bookmarkEnd w:id="75"/>
    <w:bookmarkStart w:id="76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Define potential outcomes</w:t>
      </w:r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 ATE, ATT, and ATU,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r>
        <w:t xml:space="preserve">consistency, exchangeability, and positivity.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apply the backdoor criterion to select sufficient adjustment sets.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Describe the G-computation estimator</w:t>
      </w:r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 propensity score to remove confounding.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76"/>
    <w:bookmarkStart w:id="91" w:name="references"/>
    <w:p>
      <w:pPr>
        <w:pStyle w:val="Heading1"/>
      </w:pPr>
      <w:r>
        <w:t xml:space="preserve">References</w:t>
      </w:r>
    </w:p>
    <w:bookmarkStart w:id="90" w:name="refs"/>
    <w:bookmarkStart w:id="78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77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78"/>
    <w:bookmarkStart w:id="80" w:name="ref-holland1986statistics"/>
    <w:p>
      <w:pPr>
        <w:pStyle w:val="Bibliography"/>
      </w:pPr>
      <w:r>
        <w:t xml:space="preserve">Holland, Paul W. 1986.</w:t>
      </w:r>
      <w:r>
        <w:t xml:space="preserve"> </w:t>
      </w:r>
      <w:r>
        <w:t xml:space="preserve">“Statistics and Causal Inference.”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81 (396): 945–60.</w:t>
      </w:r>
      <w:r>
        <w:t xml:space="preserve"> </w:t>
      </w:r>
      <w:hyperlink r:id="rId79">
        <w:r>
          <w:rPr>
            <w:rStyle w:val="Hyperlink"/>
          </w:rPr>
          <w:t xml:space="preserve">https://doi.org/10.2307/2289064</w:t>
        </w:r>
      </w:hyperlink>
      <w:r>
        <w:t xml:space="preserve">.</w:t>
      </w:r>
    </w:p>
    <w:bookmarkEnd w:id="80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81"/>
    <w:bookmarkStart w:id="83" w:name="ref-rosenbaum1983central"/>
    <w:p>
      <w:pPr>
        <w:pStyle w:val="Bibliography"/>
      </w:pPr>
      <w:r>
        <w:t xml:space="preserve">Rosenbaum, Paul R., and Donald B.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82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83"/>
    <w:bookmarkStart w:id="85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84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85"/>
    <w:bookmarkStart w:id="87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86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87"/>
    <w:bookmarkStart w:id="8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54" Target="media/rId54.png" /><Relationship Type="http://schemas.openxmlformats.org/officeDocument/2006/relationships/image" Id="rId69" Target="media/rId69.png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4" Target="https://doi.org/10.1001/jama.1975.03260080034016" TargetMode="External" /><Relationship Type="http://schemas.openxmlformats.org/officeDocument/2006/relationships/hyperlink" Id="rId88" Target="https://doi.org/10.1007/978-1-4614-1353-0" TargetMode="External" /><Relationship Type="http://schemas.openxmlformats.org/officeDocument/2006/relationships/hyperlink" Id="rId86" Target="https://doi.org/10.1037/h0037350" TargetMode="External" /><Relationship Type="http://schemas.openxmlformats.org/officeDocument/2006/relationships/hyperlink" Id="rId82" Target="https://doi.org/10.1093/biomet/70.1.41" TargetMode="External" /><Relationship Type="http://schemas.openxmlformats.org/officeDocument/2006/relationships/hyperlink" Id="rId79" Target="https://doi.org/10.2307/2289064" TargetMode="External" /><Relationship Type="http://schemas.openxmlformats.org/officeDocument/2006/relationships/hyperlink" Id="rId77" Target="https://www.hsph.harvard.edu/miguel-hernan/causal-inference-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4" Target="https://doi.org/10.1001/jama.1975.03260080034016" TargetMode="External" /><Relationship Type="http://schemas.openxmlformats.org/officeDocument/2006/relationships/hyperlink" Id="rId88" Target="https://doi.org/10.1007/978-1-4614-1353-0" TargetMode="External" /><Relationship Type="http://schemas.openxmlformats.org/officeDocument/2006/relationships/hyperlink" Id="rId86" Target="https://doi.org/10.1037/h0037350" TargetMode="External" /><Relationship Type="http://schemas.openxmlformats.org/officeDocument/2006/relationships/hyperlink" Id="rId82" Target="https://doi.org/10.1093/biomet/70.1.41" TargetMode="External" /><Relationship Type="http://schemas.openxmlformats.org/officeDocument/2006/relationships/hyperlink" Id="rId79" Target="https://doi.org/10.2307/2289064" TargetMode="External" /><Relationship Type="http://schemas.openxmlformats.org/officeDocument/2006/relationships/hyperlink" Id="rId77" Target="https://www.hsph.harvard.edu/miguel-hernan/causal-inference-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2026-08-05T06:17:28Z</dcterms:created>
  <dcterms:modified xsi:type="dcterms:W3CDTF">2026-08-05T06:17:28Z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Estimating causal effects from regression models</vt:lpwstr>
  </property>
  <property fmtid="{D5CDD505-2E9C-101B-9397-08002B2CF9AE}" pid="17" name="toc-title">
    <vt:lpwstr>Table of contents</vt:lpwstr>
  </property>
</Properties>
</file>