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1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That is: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called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and has a special role in this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think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special part of the linear component: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]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/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 corresponding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also a count;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 rate of counts per unit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differences of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 to rate ratios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That is, letting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element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removed: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accordingly,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mr>
          </m:m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is a cross-sectional study: every covariate is measured at a single</w:t>
            </w:r>
            <w:r>
              <w:br/>
            </w:r>
            <w:r>
              <w:rPr>
                <w:rStyle w:val="CommentTok"/>
              </w:rPr>
              <w:t xml:space="preserve"># interview, so we cannot causally order the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is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(Here the subscripts index the two</w:t>
      </w:r>
      <w:r>
        <w:t xml:space="preserve"> </w:t>
      </w:r>
      <w:r>
        <w:rPr>
          <w:i/>
          <w:iCs/>
        </w:rPr>
        <w:t xml:space="preserve">models</w:t>
      </w:r>
      <w:r>
        <w:t xml:space="preserve">; they are unrelated to the</w:t>
      </w:r>
      <w:r>
        <w:t xml:space="preserve"> </w:t>
      </w:r>
      <w:r>
        <w:t xml:space="preserve">scalar null value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in the Wald test above.)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</m:eqArr>
        </m:oMath>
      </m:oMathPara>
    </w:p>
    <w:bookmarkEnd w:id="64"/>
    <w:bookmarkStart w:id="77" w:name="diagnostics"/>
    <w:p>
      <w:pPr>
        <w:pStyle w:val="Heading1"/>
      </w:pPr>
      <w:r>
        <w:t xml:space="preserve">6. Diagnostics</w:t>
      </w:r>
    </w:p>
    <w:bookmarkStart w:id="76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e</m:t>
              </m:r>
            </m:num>
            <m:den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rad>
            </m:den>
          </m:f>
        </m:oMath>
      </m:oMathPara>
    </w:p>
    <w:bookmarkEnd w:id="66"/>
    <w:bookmarkStart w:id="67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“leverage”</w:t>
      </w:r>
      <w:r>
        <w:t xml:space="preserve"> </w:t>
      </w:r>
      <w:r>
        <w:t xml:space="preserve">(which we will continue to leave undefined).</w:t>
      </w:r>
    </w:p>
    <w:bookmarkEnd w:id="67"/>
    <w:bookmarkStart w:id="75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4"/>
        </w:tc>
      </w:tr>
    </w:tbl>
    <w:bookmarkEnd w:id="75"/>
    <w:bookmarkEnd w:id="76"/>
    <w:bookmarkEnd w:id="77"/>
    <w:bookmarkStart w:id="81" w:name="zero-inflation"/>
    <w:p>
      <w:pPr>
        <w:pStyle w:val="Heading1"/>
      </w:pPr>
      <w:r>
        <w:t xml:space="preserve">7. Zero-inflation</w:t>
      </w:r>
    </w:p>
    <w:bookmarkStart w:id="80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 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b>
            <m:e>
              <m:r>
                <m:t>γ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 regardless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have a Poisson distribution, conditional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 as above.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 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</m:oMath>
      <w:r>
        <w:t xml:space="preserve">-</w:t>
      </w:r>
      <m:oMath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, 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(by the Law of Total Probability)</w:t>
      </w:r>
    </w:p>
    <w:p>
      <w:pPr>
        <w:pStyle w:val="BodyText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</m:sSub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conditional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as functions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above.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By the Law of Total Variance.</w:t>
            </w:r>
            <w:r>
              <w:t xml:space="preserve"> </w:t>
            </w:r>
            <w:r>
              <w:t xml:space="preserve">To reduce clutter, we suppress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conditioning in the</w:t>
            </w:r>
            <w:r>
              <w:t xml:space="preserve"> </w:t>
            </w:r>
            <w:r>
              <w:t xml:space="preserve">intermediate steps below: every expectation and variance is taken within</w:t>
            </w:r>
            <w:r>
              <w:t xml:space="preserve"> </w:t>
            </w:r>
            <w:r>
              <w:t xml:space="preserve">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, and we restore the explicit conditioning</w:t>
            </w:r>
            <w:r>
              <w:t xml:space="preserve"> </w:t>
            </w:r>
            <w:r>
              <w:t xml:space="preserve">in the final line.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the first term, since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(Poisson):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the second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takes the value 0 (with prob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[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zero-inflated count models always exhibit overdispersion relative to a Poisson model</w:t>
            </w:r>
            <w:r>
              <w:t xml:space="preserve"> </w:t>
            </w:r>
            <w:r>
              <w:t xml:space="preserve">with the same mean.</w:t>
            </w:r>
          </w:p>
          <w:p/>
        </w:tc>
      </w:tr>
    </w:tbl>
    <w:bookmarkEnd w:id="80"/>
    <w:bookmarkEnd w:id="81"/>
    <w:bookmarkStart w:id="97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variance to equal the mean.</w:t>
      </w:r>
      <w:r>
        <w:t xml:space="preserve"> </w:t>
      </w:r>
      <w:r>
        <w:t xml:space="preserve">In practice, many count distributions will have a variance substantially larger than the mean (or occasionally, smaller).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empirical variance in a dataset is larger than</w:t>
            </w:r>
            <w:r>
              <w:t xml:space="preserve"> </w:t>
            </w:r>
            <w:r>
              <w:t xml:space="preserve">the value predicted by the fitted model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pPr>
        <w:pStyle w:val="BodyText"/>
      </w:pPr>
      <w:r>
        <w:t xml:space="preserve">When we encounter overdispersion,</w:t>
      </w:r>
      <w:r>
        <w:t xml:space="preserve"> </w:t>
      </w:r>
      <w:r>
        <w:t xml:space="preserve">we can try to reduce the residual variance</w:t>
      </w:r>
      <w:r>
        <w:t xml:space="preserve"> </w:t>
      </w:r>
      <w:r>
        <w:t xml:space="preserve">by adding more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I think this naming convention reflects the strongest</w:t>
            </w:r>
            <w:r>
              <w:t xml:space="preserve"> </w:t>
            </w:r>
            <w:r>
              <w:t xml:space="preserve">(most questionable assumption) in the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 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5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common alternative to the Poisson distribution for count outcomes.</w:t>
      </w:r>
      <w:r>
        <w:t xml:space="preserve"> </w:t>
      </w:r>
      <w:r>
        <w:t xml:space="preserve">It adds a dispersion parameter that allows the variance to exceed the mean,</w:t>
      </w:r>
      <w:r>
        <w:t xml:space="preserve"> </w:t>
      </w:r>
      <w:r>
        <w:t xml:space="preserve">making it more flexible when overdispersion is present.</w:t>
      </w:r>
      <w:r>
        <w:t xml:space="preserve"> </w:t>
      </w:r>
      <w:r>
        <w:t xml:space="preserve">We can still model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and we can combine this model with zero-inflation</w:t>
      </w:r>
      <w:r>
        <w:t xml:space="preserve"> </w:t>
      </w:r>
      <w:r>
        <w:t xml:space="preserve">(as the conditional distribution for the non-zero component).</w:t>
      </w:r>
    </w:p>
    <w:p>
      <w:r>
        <w:pict>
          <v:rect style="width:0;height:1.5pt" o:hralign="center" o:hrstd="t" o:hr="t"/>
        </w:pict>
      </w:r>
    </w:p>
    <w:bookmarkStart w:id="94" w:name="example-needle-sharing-1"/>
    <w:p>
      <w:pPr>
        <w:pStyle w:val="Heading3"/>
      </w:pPr>
      <w:r>
        <w:t xml:space="preserve">8.1.1 Example: needle-sharing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versus Negative Binomial Regression coefficient estimates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(glm1)), </w:t>
            </w:r>
            <w:r>
              <w:rPr>
                <w:rStyle w:val="AttributeTok"/>
              </w:rPr>
              <w:t xml:space="preserve">poisson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(glm1), </w:t>
            </w:r>
            <w:r>
              <w:rPr>
                <w:rStyle w:val="AttributeTok"/>
              </w:rPr>
              <w:t xml:space="preserve">nb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(glm1_nb))</w:t>
            </w:r>
            <w:r>
              <w:br/>
            </w:r>
            <w:r>
              <w:rPr>
                <w:rStyle w:val="CommentTok"/>
              </w:rPr>
              <w:t xml:space="preserve">#&gt; # A tibble: 11 × 3</w:t>
            </w:r>
            <w:r>
              <w:br/>
            </w:r>
            <w:r>
              <w:rPr>
                <w:rStyle w:val="CommentTok"/>
              </w:rPr>
              <w:t xml:space="preserve">#&gt;    name                        poisson      nb</w:t>
            </w:r>
            <w:r>
              <w:br/>
            </w:r>
            <w:r>
              <w:rPr>
                <w:rStyle w:val="CommentTok"/>
              </w:rPr>
              <w:t xml:space="preserve">#&gt;    &lt;chr&gt;                         &lt;dbl&gt;   &lt;dbl&gt;</w:t>
            </w:r>
            <w:r>
              <w:br/>
            </w:r>
            <w:r>
              <w:rPr>
                <w:rStyle w:val="CommentTok"/>
              </w:rPr>
              <w:t xml:space="preserve">#&gt;  1 (Intercept)                  1.31    2.89  </w:t>
            </w:r>
            <w:r>
              <w:br/>
            </w:r>
            <w:r>
              <w:rPr>
                <w:rStyle w:val="CommentTok"/>
              </w:rPr>
              <w:t xml:space="preserve">#&gt;  2 homelesshomeless             1.80    2.55  </w:t>
            </w:r>
            <w:r>
              <w:br/>
            </w:r>
            <w:r>
              <w:rPr>
                <w:rStyle w:val="CommentTok"/>
              </w:rPr>
              <w:t xml:space="preserve">#&gt;  3 age                         -0.0436 -0.0729</w:t>
            </w:r>
            <w:r>
              <w:br/>
            </w:r>
            <w:r>
              <w:rPr>
                <w:rStyle w:val="CommentTok"/>
              </w:rPr>
              <w:t xml:space="preserve">#&gt;  4 sexF                         0.884  -0.555 </w:t>
            </w:r>
            <w:r>
              <w:br/>
            </w:r>
            <w:r>
              <w:rPr>
                <w:rStyle w:val="CommentTok"/>
              </w:rPr>
              <w:t xml:space="preserve">#&gt;  5 ethnAA                       0.953   0.910 </w:t>
            </w:r>
            <w:r>
              <w:br/>
            </w:r>
            <w:r>
              <w:rPr>
                <w:rStyle w:val="CommentTok"/>
              </w:rPr>
              <w:t xml:space="preserve">#&gt;  6 ethnHispanic                 0.578   2.62  </w:t>
            </w:r>
            <w:r>
              <w:br/>
            </w:r>
            <w:r>
              <w:rPr>
                <w:rStyle w:val="CommentTok"/>
              </w:rPr>
              <w:t xml:space="preserve">#&gt;  7 ethnOther                    0.0360 -1.60  </w:t>
            </w:r>
            <w:r>
              <w:br/>
            </w:r>
            <w:r>
              <w:rPr>
                <w:rStyle w:val="CommentTok"/>
              </w:rPr>
              <w:t xml:space="preserve">#&gt;  8 polydrugmultiple drugs used -1.68   -3.71  </w:t>
            </w:r>
            <w:r>
              <w:br/>
            </w:r>
            <w:r>
              <w:rPr>
                <w:rStyle w:val="CommentTok"/>
              </w:rPr>
              <w:t xml:space="preserve">#&gt;  9 hivstatHIV+                 -2.18   -3.48  </w:t>
            </w:r>
            <w:r>
              <w:br/>
            </w:r>
            <w:r>
              <w:rPr>
                <w:rStyle w:val="CommentTok"/>
              </w:rPr>
              <w:t xml:space="preserve">#&gt; 10 sexabuseyes                 -1.47   -1.56  </w:t>
            </w:r>
            <w:r>
              <w:br/>
            </w:r>
            <w:r>
              <w:rPr>
                <w:rStyle w:val="CommentTok"/>
              </w:rPr>
              <w:t xml:space="preserve">#&gt; 11 hplsns                      -0.0315 -0.0449</w:t>
            </w:r>
          </w:p>
          <w:bookmarkEnd w:id="88"/>
        </w:tc>
      </w:tr>
    </w:tbl>
    <w:bookmarkStart w:id="91" w:name="zero-inflation-1"/>
    <w:p>
      <w:pPr>
        <w:pStyle w:val="Heading4"/>
      </w:pPr>
      <w:r>
        <w:t xml:space="preserve">zero-inflation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0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1"/>
    <w:bookmarkStart w:id="93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3"/>
    <w:bookmarkEnd w:id="94"/>
    <w:bookmarkEnd w:id="95"/>
    <w:bookmarkStart w:id="96" w:name="quasipoisson"/>
    <w:p>
      <w:pPr>
        <w:pStyle w:val="Heading2"/>
      </w:pPr>
      <w:r>
        <w:t xml:space="preserve">8.2 Quasipoisson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</w:t>
      </w:r>
      <w:r>
        <w:t xml:space="preserve"> </w:t>
      </w:r>
      <w:r>
        <w:t xml:space="preserve">“quasipoisson”</w:t>
      </w:r>
      <w:r>
        <w:t xml:space="preserve"> </w:t>
      </w:r>
      <w:r>
        <w:t xml:space="preserve">approach.</w:t>
      </w:r>
      <w:r>
        <w:t xml:space="preserve"> </w:t>
      </w:r>
      <w:r>
        <w:t xml:space="preserve">It is a method-of-moments-type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rather than specifying a full probability distribution and fitting by maximum likelihood,</w:t>
      </w:r>
      <w:r>
        <w:t xml:space="preserve"> </w:t>
      </w:r>
      <w:r>
        <w:t xml:space="preserve">it specifies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θ</m:t>
        </m:r>
      </m:oMath>
      <w:r>
        <w:t xml:space="preserve">,</w:t>
      </w:r>
      <w:r>
        <w:t xml:space="preserve"> </w:t>
      </w:r>
      <w:r>
        <w:t xml:space="preserve">and estimates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accordingly.</w:t>
      </w:r>
      <w:r>
        <w:t xml:space="preserve"> </w:t>
      </w:r>
      <w:r>
        <w:t xml:space="preserve">This approach is simpler to implement,</w:t>
      </w:r>
      <w:r>
        <w:t xml:space="preserve"> </w:t>
      </w:r>
      <w:r>
        <w:t xml:space="preserve">but provides less information than the full negative binomial likelihood.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more.</w:t>
      </w:r>
    </w:p>
    <w:bookmarkEnd w:id="96"/>
    <w:bookmarkEnd w:id="97"/>
    <w:bookmarkStart w:id="99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8">
        <w:r>
          <w:rPr>
            <w:rStyle w:val="Hyperlink"/>
          </w:rPr>
          <w:t xml:space="preserve">https://bookdown.org/roback/bookdown-BeyondMLR/ch-poissonreg.html</w:t>
        </w:r>
      </w:hyperlink>
    </w:p>
    <w:bookmarkEnd w:id="99"/>
    <w:bookmarkStart w:id="103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2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is the GLM analogue of the OLS normal equations.</w:t>
            </w:r>
          </w:p>
          <w:p/>
        </w:tc>
      </w:tr>
    </w:tbl>
    <w:bookmarkEnd w:id="103"/>
    <w:bookmarkStart w:id="115" w:name="references"/>
    <w:p>
      <w:pPr>
        <w:pStyle w:val="Heading1"/>
      </w:pPr>
      <w:r>
        <w:t xml:space="preserve">References</w:t>
      </w:r>
    </w:p>
    <w:bookmarkStart w:id="114" w:name="refs"/>
    <w:bookmarkStart w:id="10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7"/>
    <w:bookmarkStart w:id="109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8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Start w:id="113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2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1" Target="media/rId71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2026-08-20T03:34:04Z</dcterms:created>
  <dcterms:modified xsi:type="dcterms:W3CDTF">2026-08-20T03:34:04Z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