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10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 Cox proportional hazards</w:t>
      </w:r>
      <w:r>
        <w:t xml:space="preserve"> </w:t>
      </w:r>
      <w:r>
        <w:t xml:space="preserve">models. 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(Kaplan-Meier and Nelson-Aalen estimators)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r>
        <w:t xml:space="preserve">censored 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in this chapter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3"/>
    <w:bookmarkStart w:id="31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km-n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Kaplan-Meier and Nelson-Aalen calculations for the Part 1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surv_data)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KM_est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data.frame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hazard       =</w:t>
            </w:r>
            <w:r>
              <w:rPr>
                <w:rStyle w:val="NormalTok"/>
              </w:rPr>
              <w:t xml:space="preserve"> n.event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n.risk,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nonhazard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hazard,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cusum_hazard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cumsum</w:t>
            </w:r>
            <w:r>
              <w:rPr>
                <w:rStyle w:val="NormalTok"/>
              </w:rPr>
              <w:t xml:space="preserve">(hazard),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surv_KM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cumprod</w:t>
            </w:r>
            <w:r>
              <w:rPr>
                <w:rStyle w:val="NormalTok"/>
              </w:rPr>
              <w:t xml:space="preserve">(nonhazard),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surv_NA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cusum_hazard)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(time, n.risk, n.event, hazard, surv_KM, cusum_hazard, surv_NA)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4861"/>
              <w:tblLayout w:type="fixed"/>
              <w:tblLook w:firstRow="1" w:lastRow="0" w:firstColumn="0" w:lastColumn="0" w:noHBand="0" w:noVBand="0" w:val="0020"/>
            </w:tblPr>
            <w:tblGrid>
              <w:gridCol w:w="770"/>
              <w:gridCol w:w="990"/>
              <w:gridCol w:w="1100"/>
              <w:gridCol w:w="990"/>
              <w:gridCol w:w="1100"/>
              <w:gridCol w:w="165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n.risk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cusum_hazard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0.1173</w:t>
                  </w:r>
                </w:p>
              </w:tc>
            </w:tr>
          </w:tbl>
          <w:bookmarkEnd w:id="14"/>
          <w:p/>
        </w:tc>
      </w:tr>
    </w:tbl>
    <w:bookmarkStart w:id="18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 number at risk 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 censored 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 risk set;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18"/>
    <w:bookmarkStart w:id="21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r>
              <w:t xml:space="preserve">hazards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 cumulative hazard 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Nelson-Aalen estimator 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 Kaplan-Meier, which multiplies conditional survival</w:t>
            </w:r>
            <w:r>
              <w:t xml:space="preserve"> </w:t>
            </w:r>
            <w:r>
              <w:t xml:space="preserve">probabilities: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 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21"/>
    <w:bookmarkStart w:id="24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24"/>
    <w:bookmarkStart w:id="27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 median survival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 exponential 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this 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27"/>
    <w:bookmarkStart w:id="30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r>
              <w:rPr>
                <w:b/>
                <w:bCs/>
              </w:rPr>
              <w:t xml:space="preserve">risk-set 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 This mechanism is exactly what lets Kaplan-Meier 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30"/>
    <w:bookmarkEnd w:id="31"/>
    <w:bookmarkStart w:id="51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Cox PH regression for the WCGS CHD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78"/>
              <w:gridCol w:w="2178"/>
              <w:gridCol w:w="1584"/>
              <w:gridCol w:w="1485"/>
              <w:gridCol w:w="4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 for HR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p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nonsmoker (ref.)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 smoker (</w:t>
                  </w:r>
                  <m:oMath>
                    <m:r>
                      <m:t>L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heavy smoker (</w:t>
                  </w:r>
                  <m:oMath>
                    <m:r>
                      <m:t>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(1.63, 2.91)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per decade (</w:t>
                  </w:r>
                  <m:oMath>
                    <m:r>
                      <m:t>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(1.56, 2.40)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 type A (</w:t>
                  </w:r>
                  <m:oMath>
                    <m:r>
                      <m:t>P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(1.58, 2.70)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overweight (</w:t>
                  </w:r>
                  <m:oMath>
                    <m:r>
                      <m:t>B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cholesterol (</w:t>
                  </w:r>
                  <m:oMath>
                    <m: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(1.65, 2.71)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The exam also provided the estimated covariance matrix 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relevant entries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35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r>
              <w:t xml:space="preserve">linear predictor, omitting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“baseline hazard is exponential”</w:t>
            </w:r>
            <w:r>
              <w:t xml:space="preserve"> </w:t>
            </w:r>
            <w:r>
              <w:t xml:space="preserve">assumption. 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(survival,</w:t>
            </w:r>
            <w:r>
              <w:t xml:space="preserve"> </w:t>
            </w:r>
            <w:r>
              <w:t xml:space="preserve">density, hazard, log-hazard, cumulative hazard).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Independent-observations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Non-informative censoring 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Proportional-hazards 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Logarithmic-link 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r>
              <w:t xml:space="preserve">linear combination):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35"/>
    <w:bookmarkStart w:id="38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 </w:t>
            </w:r>
            <w:r>
              <w:t xml:space="preserve">(whether the 95% CI 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 hazard ratio 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. 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 odds.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 reference group,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 this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 this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38"/>
    <w:bookmarkStart w:id="41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hazard ratio 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r>
              <w:t xml:space="preserve">log-hazard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 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β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41"/>
    <w:bookmarkStart w:id="47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 compute the z-statistic and two-sided p-value.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mistake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 covariance 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r>
              <w:t xml:space="preserve">variance.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 variance-of-a-difference formula 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 normal. 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 covariance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 significantly 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r>
                    <w:t xml:space="preserve">correlated,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47"/>
    <w:bookmarkStart w:id="50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 confidence interval for the hazard ratio 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50"/>
    <w:bookmarkEnd w:id="51"/>
    <w:bookmarkStart w:id="52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10" Target="media/rId10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2026-09-10T07:09:46Z</dcterms:created>
  <dcterms:modified xsi:type="dcterms:W3CDTF">2026-09-10T07:09:46Z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