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92.png" ContentType="image/png"/>
  <Override PartName="/word/media/rId59.png" ContentType="image/png"/>
  <Override PartName="/word/media/rId70.png" ContentType="image/png"/>
  <Override PartName="/word/media/rId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(Vittinghoff et al. 2012, chap. 10)</w:t>
      </w:r>
    </w:p>
    <w:p>
      <w:pPr>
        <w:pStyle w:val="Compact"/>
        <w:numPr>
          <w:ilvl w:val="0"/>
          <w:numId w:val="1001"/>
        </w:numPr>
      </w:pPr>
      <w:r>
        <w:t xml:space="preserve">(Heinze et al. 2018)</w:t>
      </w:r>
    </w:p>
    <w:bookmarkEnd w:id="10"/>
    <w:bookmarkStart w:id="15" w:name="sec-pred-sel-intro"/>
    <w:p>
      <w:pPr>
        <w:pStyle w:val="Heading1"/>
      </w:pPr>
      <w:r>
        <w:t xml:space="preserve">1. Introduction</w:t>
      </w:r>
    </w:p>
    <w:bookmarkStart w:id="11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Overfitting</w:t>
      </w:r>
      <w:r>
        <w:t xml:space="preserve">: the model fits noise in the training data 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Multicollinearity</w:t>
      </w:r>
      <w:r>
        <w:t xml:space="preserve">: highly correlated 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r>
        <w:t xml:space="preserve">standard errors.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Confounding 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1"/>
    <w:bookmarkStart w:id="12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(2012, chap. 10)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 causal diagram (DAG)</w:t>
      </w:r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Science-driven selection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 AIC or BIC.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2"/>
    <w:bookmarkStart w:id="14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 confounders.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 mediators or colliders.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14"/>
    <w:bookmarkEnd w:id="15"/>
    <w:bookmarkStart w:id="23" w:name="sec-pred-sel-goals-chapter"/>
    <w:p>
      <w:pPr>
        <w:pStyle w:val="Heading1"/>
      </w:pPr>
      <w:r>
        <w:t xml:space="preserve">2. Inferential Goals</w:t>
      </w:r>
    </w:p>
    <w:bookmarkStart w:id="22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(2012, chap. 10)</w:t>
      </w:r>
      <w:r>
        <w:t xml:space="preserve"> </w:t>
      </w:r>
      <w:r>
        <w:t xml:space="preserve">distinguishes three distinct goals:</w:t>
      </w:r>
    </w:p>
    <w:bookmarkStart w:id="1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 prediction error 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(2001)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16"/>
          <w:p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r>
        <w:t xml:space="preserve">Overfitting 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 cross-validation 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17"/>
    <w:bookmarkStart w:id="1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(2001)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18"/>
          <w:p/>
        </w:tc>
      </w:tr>
    </w:tbl>
    <w:p>
      <w:pPr>
        <w:pStyle w:val="BodyText"/>
      </w:pPr>
      <w:r>
        <w:t xml:space="preserve">In observational studies, confounding 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19"/>
    <w:bookmarkStart w:id="21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(1996)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 statistically significant 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20"/>
          <w:p/>
        </w:tc>
      </w:tr>
    </w:tbl>
    <w:p>
      <w:pPr>
        <w:pStyle w:val="BodyText"/>
      </w:pPr>
      <w:r>
        <w:t xml:space="preserve">Identifying important predictors is the most challenging goal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21"/>
    <w:bookmarkEnd w:id="22"/>
    <w:bookmarkEnd w:id="23"/>
    <w:bookmarkStart w:id="26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25">
        <w:r>
          <w:rPr>
            <w:rStyle w:val="Hyperlink"/>
          </w:rPr>
          <w:t xml:space="preserve">The WCGS DAG example</w:t>
        </w:r>
      </w:hyperlink>
    </w:p>
    <w:bookmarkEnd w:id="26"/>
    <w:bookmarkStart w:id="36" w:name="sec-pred-sel-prediction"/>
    <w:p>
      <w:pPr>
        <w:pStyle w:val="Heading1"/>
      </w:pPr>
      <w:r>
        <w:t xml:space="preserve">4. Prediction</w:t>
      </w:r>
    </w:p>
    <w:bookmarkStart w:id="28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 bias</w:t>
      </w:r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 variance</w:t>
      </w:r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 training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2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28"/>
    <w:bookmarkStart w:id="30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hyperlink w:anchor="tbl-overfi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 development set.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overfi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Numerical example showing overfitting:</w:t>
            </w:r>
            <w:r>
              <w:t xml:space="preserve"> </w:t>
            </w:r>
            <w:r>
              <w:t xml:space="preserve">lower training error but worse validation error.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n_noise_predictors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hers_base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(hers_base)</w:t>
            </w:r>
            <w:r>
              <w:br/>
            </w:r>
            <w:r>
              <w:rPr>
                <w:rStyle w:val="NormalTok"/>
              </w:rPr>
              <w:t xml:space="preserve">idx_overfit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(n_overfit),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n_overfit))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train_overfit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hers_base[idx_overfit, ]</w:t>
            </w:r>
            <w:r>
              <w:br/>
            </w:r>
            <w:r>
              <w:rPr>
                <w:rStyle w:val="NormalTok"/>
              </w:rPr>
              <w:t xml:space="preserve">valid_overfit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idx_overfit, ]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(j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 {</w:t>
            </w:r>
            <w:r>
              <w:br/>
            </w:r>
            <w:r>
              <w:rPr>
                <w:rStyle w:val="NormalTok"/>
              </w:rPr>
              <w:t xml:space="preserve">  zname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j)</w:t>
            </w:r>
            <w:r>
              <w:br/>
            </w:r>
            <w:r>
              <w:rPr>
                <w:rStyle w:val="NormalTok"/>
              </w:rPr>
              <w:t xml:space="preserve">  train_overfit[[zname]]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(train_overfit))</w:t>
            </w:r>
            <w:r>
              <w:br/>
            </w:r>
            <w:r>
              <w:rPr>
                <w:rStyle w:val="NormalTok"/>
              </w:rPr>
              <w:t xml:space="preserve">  valid_overfit[[zname]]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(valid_overfit))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model_parsimonious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noise_terms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</w:t>
            </w:r>
            <w:r>
              <w:br/>
            </w:r>
            <w:r>
              <w:rPr>
                <w:rStyle w:val="NormalTok"/>
              </w:rPr>
              <w:t xml:space="preserve">overfit_formula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reformulate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 noise_terms), 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overfit_formula,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(y, yhat)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yhat)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"Parsimonious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"Overfit model (+"</w:t>
            </w:r>
            <w:r>
              <w:rPr>
                <w:rStyle w:val="NormalTok"/>
              </w:rPr>
              <w:t xml:space="preserve">, n_noise_predictors, </w:t>
            </w:r>
            <w:r>
              <w:rPr>
                <w:rStyle w:val="StringTok"/>
              </w:rPr>
              <w:t xml:space="preserve">" noise predictors)"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(Training_RMSE, Validation_RMSE),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(.x,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Parsimonious model                            37.0            36.7</w:t>
            </w:r>
            <w:r>
              <w:br/>
            </w:r>
            <w:r>
              <w:rPr>
                <w:rStyle w:val="CommentTok"/>
              </w:rPr>
              <w:t xml:space="preserve">#&gt; 2 Overfit model (+20 noise predictors)          36.9            37.0</w:t>
            </w:r>
          </w:p>
          <w:bookmarkEnd w:id="29"/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 RMSE</w:t>
      </w:r>
      <w:r>
        <w:t xml:space="preserve"> </w:t>
      </w:r>
      <w:r>
        <w:t xml:space="preserve">but higher validation RMSE,</w:t>
      </w:r>
      <w:r>
        <w:t xml:space="preserve"> </w:t>
      </w:r>
      <w:r>
        <w:t xml:space="preserve">which is the defining pattern of overfitting.</w:t>
      </w:r>
    </w:p>
    <w:bookmarkEnd w:id="30"/>
    <w:bookmarkStart w:id="31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 prediction error,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continuous outcomes</w:t>
      </w:r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BIC</w:t>
      </w:r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binary outcomes</w:t>
      </w:r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&gt;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 censored,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 risk score.</w:t>
      </w:r>
    </w:p>
    <w:bookmarkEnd w:id="31"/>
    <w:bookmarkStart w:id="3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 predicted values 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p>
            <w:pPr>
              <w:pStyle w:val="FirstParagraph"/>
            </w:pP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32"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 held-out data</w:t>
      </w:r>
      <w:r>
        <w:t xml:space="preserve"> </w:t>
      </w:r>
      <w:r>
        <w:t xml:space="preserve">that did not influence the model fit.</w:t>
      </w:r>
    </w:p>
    <w:bookmarkEnd w:id="33"/>
    <w:bookmarkStart w:id="34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 cross-validation</w:t>
      </w:r>
      <w:r>
        <w:t xml:space="preserve"> </w:t>
      </w:r>
      <w:r>
        <w:t xml:space="preserve">to select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r>
        <w:t xml:space="preserve">mean squared error 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 one standard error 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 bias–variance trade-off: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MSE,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34"/>
    <w:bookmarkStart w:id="35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r>
        <w:rPr>
          <w:b/>
          <w:bCs/>
        </w:rPr>
        <w:t xml:space="preserve">development set</w:t>
      </w:r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RMSE: 36.78 </w:t>
      </w:r>
      <w:r>
        <w:br/>
      </w:r>
      <w:r>
        <w:rPr>
          <w:rStyle w:val="CommentTok"/>
        </w:rPr>
        <w:t xml:space="preserve">#&gt;  Validation RMSE: 36.85</w:t>
      </w:r>
    </w:p>
    <w:p>
      <w:pPr>
        <w:pStyle w:val="FirstParagraph"/>
      </w:pPr>
      <w:r>
        <w:t xml:space="preserve">If the validation RMSE is much larger than the training RMSE,</w:t>
      </w:r>
      <w:r>
        <w:t xml:space="preserve"> </w:t>
      </w:r>
      <w:r>
        <w:t xml:space="preserve">this discrepancy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35"/>
    <w:bookmarkEnd w:id="36"/>
    <w:bookmarkStart w:id="53" w:name="sec-pred-sel-eval"/>
    <w:p>
      <w:pPr>
        <w:pStyle w:val="Heading1"/>
      </w:pPr>
      <w:r>
        <w:t xml:space="preserve">5. Evaluating a Predictor of Primary Interest</w:t>
      </w:r>
    </w:p>
    <w:bookmarkStart w:id="37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37"/>
    <w:bookmarkStart w:id="38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 statistical significance</w:t>
      </w:r>
      <w:r>
        <w:t xml:space="preserve"> </w:t>
      </w:r>
      <w:r>
        <w:t xml:space="preserve">in the current data.</w:t>
      </w:r>
      <w:r>
        <w:t xml:space="preserve"> </w:t>
      </w:r>
      <w:r>
        <w:t xml:space="preserve">Including these variables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 confounders</w:t>
      </w:r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38"/>
    <w:bookmarkStart w:id="47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 confounders</w:t>
      </w:r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 p-value,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 bias.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(Kleinbaum and Klein 2010, chap. 8, pp. 194–212; Vittinghoff et al. 2012, chap. 10, pp. 257–275; Mickey and Greenland 1989, 125; Greenland 1989, 340)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46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 confounding 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 logistic regression 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(2010, chap. 8)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10p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10% change-in-estimate rule applied to the WCGS data.</w:t>
            </w:r>
            <w:r>
              <w:t xml:space="preserve"> </w:t>
            </w:r>
            <w:r>
              <w:t xml:space="preserve">The Type A coefficient from the full model</w:t>
            </w:r>
            <w:r>
              <w:t xml:space="preserve"> </w:t>
            </w:r>
            <w:r>
              <w:t xml:space="preserve">is compared with coefficients from models that drop one confounder at a time.</w:t>
            </w:r>
            <w:r>
              <w:t xml:space="preserve"> </w:t>
            </w:r>
            <w:r>
              <w:t xml:space="preserve">A percentage change exceeding 10% indicates meaningful confounding.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results_df,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variable"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(full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(reduced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"Meaningful confounder?"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41"/>
              <w:gridCol w:w="1448"/>
              <w:gridCol w:w="1738"/>
              <w:gridCol w:w="869"/>
              <w:gridCol w:w="22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variable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(full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(reduced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Meaningful confounder?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 standard error.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wcgs-10pct-bw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Backward elimination under the 10% change-in-estimate rule,</w:t>
            </w:r>
            <w:r>
              <w:t xml:space="preserve"> </w:t>
            </w:r>
            <w:r>
              <w:t xml:space="preserve">with standard-error reduction</w:t>
            </w:r>
            <w:r>
              <w:t xml:space="preserve"> </w:t>
            </w:r>
            <w:r>
              <w:t xml:space="preserve">used to choose among eligible drops.</w:t>
            </w:r>
            <w:r>
              <w:t xml:space="preserve"> </w:t>
            </w:r>
            <w:r>
              <w:t xml:space="preserve">The reference for the percent-change criterion</w:t>
            </w:r>
            <w:r>
              <w:t xml:space="preserve"> </w:t>
            </w:r>
            <w:r>
              <w:t xml:space="preserve">is always the Type A coefficient in the original full model.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bwe_steps_df,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"Step"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covariate"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 from full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before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after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reduction"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0"/>
              <w:gridCol w:w="1584"/>
              <w:gridCol w:w="2200"/>
              <w:gridCol w:w="1320"/>
              <w:gridCol w:w="1232"/>
              <w:gridCol w:w="11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covariate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 from full 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before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after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reduction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10, pp. 257–275)</w:t>
      </w:r>
      <w:r>
        <w:t xml:space="preserve">,</w:t>
      </w:r>
      <w:r>
        <w:t xml:space="preserve"> </w:t>
      </w:r>
      <w:r>
        <w:t xml:space="preserve">Kleinbaum and Klein (2010, chaps. 6–8)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(2021, chap. 21, section</w:t>
      </w:r>
      <w:r>
        <w:t xml:space="preserve"> </w:t>
      </w:r>
      <w:r>
        <w:t xml:space="preserve">“Model Selection”</w:t>
      </w:r>
      <w:r>
        <w:t xml:space="preserve">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 collinearity 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46"/>
    <w:bookmarkEnd w:id="47"/>
    <w:bookmarkStart w:id="48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 AIC.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48"/>
    <w:bookmarkStart w:id="49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49"/>
    <w:bookmarkStart w:id="52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 uncorrelated</w:t>
      </w:r>
      <w:r>
        <w:t xml:space="preserve"> </w:t>
      </w:r>
      <w:r>
        <w:t xml:space="preserve">with pre-treatment covariates in expectation.</w:t>
      </w:r>
      <w:r>
        <w:t xml:space="preserve"> </w:t>
      </w:r>
      <w:r>
        <w:t xml:space="preserve">Confounding 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(continuous outcomes).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r>
        <w:t xml:space="preserve">variance inflation 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 Cox models,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 standard errors and p-values.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52"/>
    <w:bookmarkEnd w:id="53"/>
    <w:bookmarkStart w:id="58" w:name="sec-pred-sel-multiple-chapter"/>
    <w:p>
      <w:pPr>
        <w:pStyle w:val="Heading1"/>
      </w:pPr>
      <w:r>
        <w:t xml:space="preserve">6. Identifying Multiple Important Predictors</w:t>
      </w:r>
    </w:p>
    <w:bookmarkStart w:id="54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r>
        <w:t xml:space="preserve">confounding 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r>
        <w:t xml:space="preserve">Overfitting 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r>
        <w:t xml:space="preserve">Collinear 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54"/>
    <w:bookmarkStart w:id="55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(Allen and Cady 1982)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55"/>
    <w:bookmarkStart w:id="56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 confounding.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56"/>
    <w:bookmarkStart w:id="57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(2003)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 Cox model.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57"/>
    <w:bookmarkEnd w:id="58"/>
    <w:bookmarkStart w:id="64" w:name="sec-pred-sel-stepwise"/>
    <w:p>
      <w:pPr>
        <w:pStyle w:val="Heading1"/>
      </w:pPr>
      <w:r>
        <w:t xml:space="preserve">7. Testing-based selection</w:t>
      </w:r>
    </w:p>
    <w:p>
      <w:pPr>
        <w:pStyle w:val="FirstParagraph"/>
      </w:pPr>
      <w:r>
        <w:t xml:space="preserve">Testing-based selection methods use statistical tests</w:t>
      </w:r>
      <w:r>
        <w:t xml:space="preserve"> </w:t>
      </w:r>
      <w:r>
        <w:t xml:space="preserve">(such as F-tests or likelihood ratio tests)</w:t>
      </w:r>
      <w:r>
        <w:t xml:space="preserve"> </w:t>
      </w:r>
      <w:r>
        <w:t xml:space="preserve">to decide which predictors to include in a model.</w:t>
      </w:r>
    </w:p>
    <w:bookmarkStart w:id="62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(overfitting).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P-values and confidence intervals are biased 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(DAGs),</w:t>
            </w:r>
            <w:r>
              <w:t xml:space="preserve"> </w:t>
            </w:r>
            <w:r>
              <w:t xml:space="preserve">cross-validation, or penalized methods (such as LASSO)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62"/>
    <w:bookmarkStart w:id="63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63"/>
    <w:bookmarkEnd w:id="64"/>
    <w:bookmarkStart w:id="68" w:name="sec-pred-sel-aic-bic"/>
    <w:p>
      <w:pPr>
        <w:pStyle w:val="Heading1"/>
      </w:pPr>
      <w:r>
        <w:t xml:space="preserve">8. Criterion-based selection</w:t>
      </w:r>
    </w:p>
    <w:bookmarkStart w:id="6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(Akaike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(Bayesian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 log-likelihood,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65"/>
    <w:bookmarkStart w:id="6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tbl-mode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 LDL models by AIC, BIC, and adjusted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models_ldl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only"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 + BMI + diabetes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"Full model"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smoking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SBP,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(models_ldl),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AIC),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BIC),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Adj_R2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models_ldl,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adj.r.squared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5 × 4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  AIC    BIC    Adj_R2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&lt;dbl&gt;  &lt;dbl&gt;     &lt;dbl&gt;</w:t>
            </w:r>
            <w:r>
              <w:br/>
            </w:r>
            <w:r>
              <w:rPr>
                <w:rStyle w:val="CommentTok"/>
              </w:rPr>
              <w:t xml:space="preserve">#&gt; 1 HT only                             27807. 27825. -0.000341</w:t>
            </w:r>
            <w:r>
              <w:br/>
            </w:r>
            <w:r>
              <w:rPr>
                <w:rStyle w:val="CommentTok"/>
              </w:rPr>
              <w:t xml:space="preserve">#&gt; 2 HT + age                            27802. 27826.  0.00202 </w:t>
            </w:r>
            <w:r>
              <w:br/>
            </w:r>
            <w:r>
              <w:rPr>
                <w:rStyle w:val="CommentTok"/>
              </w:rPr>
              <w:t xml:space="preserve">#&gt; 3 HT + statins                        27681. 27704.  0.0451  </w:t>
            </w:r>
            <w:r>
              <w:br/>
            </w:r>
            <w:r>
              <w:rPr>
                <w:rStyle w:val="CommentTok"/>
              </w:rPr>
              <w:t xml:space="preserve">#&gt; 4 HT + age + BMI + diabetes + statins 27617. 27658.  0.0511  </w:t>
            </w:r>
            <w:r>
              <w:br/>
            </w:r>
            <w:r>
              <w:rPr>
                <w:rStyle w:val="CommentTok"/>
              </w:rPr>
              <w:t xml:space="preserve">#&gt; 5 Full model                          27609. 27662.  0.0545</w:t>
            </w:r>
          </w:p>
          <w:bookmarkEnd w:id="66"/>
        </w:tc>
      </w:tr>
    </w:tbl>
    <w:bookmarkEnd w:id="67"/>
    <w:bookmarkEnd w:id="68"/>
    <w:bookmarkStart w:id="81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69" w:name="the-lasso"/>
    <w:p>
      <w:pPr>
        <w:pStyle w:val="Heading2"/>
      </w:pPr>
      <w:r>
        <w:t xml:space="preserve">9.1 The LASSO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LASSO</w:t>
      </w:r>
      <w:r>
        <w:t xml:space="preserve"> </w:t>
      </w:r>
      <w:r>
        <w:t xml:space="preserve">(Least Absolute Shrinkage and Selection Operator)</w:t>
      </w:r>
      <w:r>
        <w:t xml:space="preserve"> </w:t>
      </w:r>
      <w:r>
        <w:t xml:space="preserve">adds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to the log-likelihood: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λ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β</m:t>
              </m:r>
            </m:lim>
          </m:limLow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̂"/>
                </m:accPr>
                <m:e>
                  <m:r>
                    <m:t>ℓ</m:t>
                  </m:r>
                </m:e>
              </m:acc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pStyle w:val="FirstParagraph"/>
      </w:pPr>
      <w:r>
        <w:t xml:space="preserve">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 (ordinary least squares).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cross-validation.</w:t>
      </w:r>
    </w:p>
    <w:bookmarkEnd w:id="69"/>
    <w:bookmarkStart w:id="80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lasso-ldl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(glmnet)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hers_ldl_complete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statins, SBP)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y_ldl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hers_ldl_complete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</w:t>
            </w:r>
            <w:r>
              <w:br/>
            </w:r>
            <w:r>
              <w:rPr>
                <w:rStyle w:val="NormalTok"/>
              </w:rPr>
              <w:t xml:space="preserve">x_ldl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hers_ldl_complete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LDL)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(diabetes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(smoking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as.matrix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lasso_fit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(lasso_fit, </w:t>
            </w:r>
            <w:r>
              <w:rPr>
                <w:rStyle w:val="AttributeTok"/>
              </w:rPr>
              <w:t xml:space="preserve">xvar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4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LASSO coefficient paths for LDL predictors in HERS.</w:t>
            </w:r>
            <w:r>
              <w:t xml:space="preserve"> </w:t>
            </w:r>
            <w:r>
              <w:t xml:space="preserve">Each line traces one predictor’s coefficient as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increases.</w:t>
            </w:r>
            <w:r>
              <w:t xml:space="preserve"> </w:t>
            </w:r>
            <w:r>
              <w:t xml:space="preserve">Coefficients shrink toward zero as the penalty grows;</w:t>
            </w:r>
            <w:r>
              <w:t xml:space="preserve"> </w:t>
            </w:r>
            <w:r>
              <w:t xml:space="preserve">some reach exactly zero (variables excluded from the model).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lasso-cv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cv_lasso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cv.glmnet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(cv_lasso)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5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Cross-validated LASSO for LDL: mean squared error vs. 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(minimum CV error);</w:t>
            </w:r>
            <w:r>
              <w:t xml:space="preserve"> </w:t>
            </w:r>
            <w:r>
              <w:t xml:space="preserve">the right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(largest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within 1 SE of the minimum).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lasso-coe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LASSO coefficients at two values of the regularization parameter.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minimizes cross-validation error;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uses a more conservative (larger)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within one standard error of the minimum,</w:t>
            </w:r>
            <w:r>
              <w:t xml:space="preserve"> </w:t>
            </w:r>
            <w:r>
              <w:t xml:space="preserve">producing a sparser model.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"lambda.min"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lambda.1se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"lambda.1se"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8 × 2</w:t>
            </w:r>
            <w:r>
              <w:br/>
            </w:r>
            <w:r>
              <w:rPr>
                <w:rStyle w:val="CommentTok"/>
              </w:rPr>
              <w:t xml:space="preserve">#&gt;   lambda.min lambda.1se</w:t>
            </w:r>
            <w:r>
              <w:br/>
            </w:r>
            <w:r>
              <w:rPr>
                <w:rStyle w:val="CommentTok"/>
              </w:rPr>
              <w:t xml:space="preserve">#&gt;        &lt;dbl&gt;      &lt;dbl&gt;</w:t>
            </w:r>
            <w:r>
              <w:br/>
            </w:r>
            <w:r>
              <w:rPr>
                <w:rStyle w:val="CommentTok"/>
              </w:rPr>
              <w:t xml:space="preserve">#&gt; 1    141.        146.  </w:t>
            </w:r>
            <w:r>
              <w:br/>
            </w:r>
            <w:r>
              <w:rPr>
                <w:rStyle w:val="CommentTok"/>
              </w:rPr>
              <w:t xml:space="preserve">#&gt; 2      0           0   </w:t>
            </w:r>
            <w:r>
              <w:br/>
            </w:r>
            <w:r>
              <w:rPr>
                <w:rStyle w:val="CommentTok"/>
              </w:rPr>
              <w:t xml:space="preserve">#&gt; 3     -0.239       0   </w:t>
            </w:r>
            <w:r>
              <w:br/>
            </w:r>
            <w:r>
              <w:rPr>
                <w:rStyle w:val="CommentTok"/>
              </w:rPr>
              <w:t xml:space="preserve">#&gt; 4      0.416       0   </w:t>
            </w:r>
            <w:r>
              <w:br/>
            </w:r>
            <w:r>
              <w:rPr>
                <w:rStyle w:val="CommentTok"/>
              </w:rPr>
              <w:t xml:space="preserve">#&gt; 5     -4.70        0   </w:t>
            </w:r>
            <w:r>
              <w:br/>
            </w:r>
            <w:r>
              <w:rPr>
                <w:rStyle w:val="CommentTok"/>
              </w:rPr>
              <w:t xml:space="preserve">#&gt; 6      1.93        0   </w:t>
            </w:r>
            <w:r>
              <w:br/>
            </w:r>
            <w:r>
              <w:rPr>
                <w:rStyle w:val="CommentTok"/>
              </w:rPr>
              <w:t xml:space="preserve">#&gt; 7    -16.2        -2.84</w:t>
            </w:r>
            <w:r>
              <w:br/>
            </w:r>
            <w:r>
              <w:rPr>
                <w:rStyle w:val="CommentTok"/>
              </w:rPr>
              <w:t xml:space="preserve">#&gt; 8      0.110       0</w:t>
            </w:r>
          </w:p>
          <w:bookmarkEnd w:id="78"/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79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80"/>
    <w:bookmarkEnd w:id="81"/>
    <w:bookmarkStart w:id="96" w:name="sec-pred-sel-details"/>
    <w:p>
      <w:pPr>
        <w:pStyle w:val="Heading1"/>
      </w:pPr>
      <w:r>
        <w:t xml:space="preserve">10. Some Details</w:t>
      </w:r>
    </w:p>
    <w:bookmarkStart w:id="85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3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 correlation 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82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 statistically significant in simpler models.</w:t>
      </w:r>
      <w:r>
        <w:t xml:space="preserve"> </w:t>
      </w:r>
      <w:r>
        <w:t xml:space="preserve">The joint F-test 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r>
        <w:t xml:space="preserve">Cross-validation determines whether each contributes.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 confounder,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 standard error,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84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3" w:name="exm-vif-toy"/>
          <w:p>
            <w:pPr>
              <w:pStyle w:val="BodyText"/>
            </w:pPr>
            <w:r>
              <w:rPr>
                <w:b/>
                <w:bCs/>
              </w:rPr>
              <w:t xml:space="preserve">Example 4 (Variance inflation and standard error inflation)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candidate predictors in a linear model.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have correlation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regressing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0.95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0.9025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variance inflation factor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VIF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0.9025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0.0975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10.26</m:t>
                </m:r>
              </m:oMath>
            </m:oMathPara>
          </w:p>
          <w:p>
            <w:pPr>
              <w:pStyle w:val="FirstParagraph"/>
            </w:pPr>
            <w:r>
              <w:t xml:space="preserve">Because variance is inflated by a factor of 10.26,</w:t>
            </w:r>
            <w:r>
              <w:t xml:space="preserve"> </w:t>
            </w:r>
            <w:r>
              <w:t xml:space="preserve">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increased by a factor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10.26</m:t>
                  </m:r>
                </m:e>
              </m:rad>
              <m:r>
                <m:rPr>
                  <m:sty m:val="p"/>
                </m:rPr>
                <m:t>≈</m:t>
              </m:r>
              <m:r>
                <m:t>3.20</m:t>
              </m:r>
            </m:oMath>
            <w:r>
              <w:t xml:space="preserve"> </w:t>
            </w:r>
            <w:r>
              <w:t xml:space="preserve">compared to an orthogonal design 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3"/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79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84"/>
    <w:bookmarkEnd w:id="85"/>
    <w:bookmarkStart w:id="88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EPV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 standard errors are unusually large,</w:t>
      </w:r>
      <w:r>
        <w:t xml:space="preserve"> </w:t>
      </w:r>
      <w:r>
        <w:t xml:space="preserve">and whether Wald and likelihood ratio test p-values</w:t>
      </w:r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88"/>
    <w:bookmarkStart w:id="91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AIC,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91"/>
    <w:bookmarkStart w:id="95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 p-values and confidence intervals 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r>
        <w:t xml:space="preserve">Cross-validation of a PE measure protects against overfitting</w:t>
      </w:r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95"/>
    <w:bookmarkEnd w:id="96"/>
    <w:bookmarkStart w:id="97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7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7"/>
        </w:numPr>
      </w:pPr>
      <w:r>
        <w:t xml:space="preserve">Use cross-validation of a target PE measure</w:t>
      </w:r>
      <w:r>
        <w:t xml:space="preserve"> </w:t>
      </w:r>
      <w:r>
        <w:t xml:space="preserve">to select among models without overfitting.</w:t>
      </w:r>
    </w:p>
    <w:p>
      <w:pPr>
        <w:pStyle w:val="Compact"/>
        <w:numPr>
          <w:ilvl w:val="0"/>
          <w:numId w:val="1027"/>
        </w:numPr>
      </w:pPr>
      <w:r>
        <w:t xml:space="preserve">Shrinkage methods (LASSO,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28"/>
        </w:numPr>
      </w:pPr>
      <w:r>
        <w:t xml:space="preserve">Use a DAG to identify confounders, mediators, and colliders.</w:t>
      </w:r>
    </w:p>
    <w:p>
      <w:pPr>
        <w:pStyle w:val="Compact"/>
        <w:numPr>
          <w:ilvl w:val="0"/>
          <w:numId w:val="1028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28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28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28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29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29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29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t xml:space="preserve">Collinearity between a primary predictor and a confounder</w:t>
      </w:r>
      <w:r>
        <w:t xml:space="preserve"> </w:t>
      </w:r>
      <w:r>
        <w:t xml:space="preserve">can inflate standard errors; between adjustment variables, it does not.</w:t>
      </w:r>
    </w:p>
    <w:p>
      <w:pPr>
        <w:pStyle w:val="Compact"/>
        <w:numPr>
          <w:ilvl w:val="0"/>
          <w:numId w:val="1030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0"/>
        </w:numPr>
      </w:pPr>
      <w:r>
        <w:t xml:space="preserve">Model selection complicates inference:</w:t>
      </w:r>
      <w:r>
        <w:t xml:space="preserve"> </w:t>
      </w:r>
      <w:r>
        <w:t xml:space="preserve">nominal p-values and confidence intervals are anticonservative</w:t>
      </w:r>
      <w:r>
        <w:t xml:space="preserve"> </w:t>
      </w:r>
      <w:r>
        <w:t xml:space="preserve">when predictors have been selected from the data.</w:t>
      </w:r>
    </w:p>
    <w:bookmarkEnd w:id="97"/>
    <w:bookmarkStart w:id="98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98"/>
    <w:bookmarkStart w:id="119" w:name="references"/>
    <w:p>
      <w:pPr>
        <w:pStyle w:val="Heading1"/>
      </w:pPr>
      <w:r>
        <w:t xml:space="preserve">References</w:t>
      </w:r>
    </w:p>
    <w:bookmarkStart w:id="118" w:name="refs"/>
    <w:bookmarkStart w:id="99" w:name="ref-AllenCady1982"/>
    <w:p>
      <w:pPr>
        <w:pStyle w:val="Bibliography"/>
      </w:pPr>
      <w:r>
        <w:t xml:space="preserve">Allen, David M., and Frederick B. Cady. 1982.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Lifetime Learning Publications.</w:t>
      </w:r>
    </w:p>
    <w:bookmarkEnd w:id="99"/>
    <w:bookmarkStart w:id="101" w:name="ref-Greenland1989Modeling"/>
    <w:p>
      <w:pPr>
        <w:pStyle w:val="Bibliography"/>
      </w:pPr>
      <w:r>
        <w:t xml:space="preserve">Greenland, Sander. 1989.</w:t>
      </w:r>
      <w:r>
        <w:t xml:space="preserve"> </w:t>
      </w:r>
      <w:r>
        <w:t xml:space="preserve">“Modeling and Variable Selection in Epidemiologic Analysis.”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 </w:t>
      </w:r>
      <w:r>
        <w:t xml:space="preserve">79 (3): 340–49.</w:t>
      </w:r>
      <w:r>
        <w:t xml:space="preserve"> </w:t>
      </w:r>
      <w:hyperlink r:id="rId100">
        <w:r>
          <w:rPr>
            <w:rStyle w:val="Hyperlink"/>
          </w:rPr>
          <w:t xml:space="preserve">https://doi.org/10.2105/AJPH.79.3.340</w:t>
        </w:r>
      </w:hyperlink>
      <w:r>
        <w:t xml:space="preserve">.</w:t>
      </w:r>
    </w:p>
    <w:bookmarkEnd w:id="101"/>
    <w:bookmarkStart w:id="103" w:name="ref-Grodstein2001"/>
    <w:p>
      <w:pPr>
        <w:pStyle w:val="Bibliography"/>
      </w:pPr>
      <w:r>
        <w:t xml:space="preserve">Grodstein, Francine, JoAnn E. Manson, Meir J. Stampfer, et al. 2001.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135 (1): 1–8.</w:t>
      </w:r>
      <w:r>
        <w:t xml:space="preserve"> </w:t>
      </w:r>
      <w:hyperlink r:id="rId102">
        <w:r>
          <w:rPr>
            <w:rStyle w:val="Hyperlink"/>
          </w:rPr>
          <w:t xml:space="preserve">https://doi.org/10.7326/0003-4819-135-1-200107030-00007</w:t>
        </w:r>
      </w:hyperlink>
      <w:r>
        <w:t xml:space="preserve">.</w:t>
      </w:r>
    </w:p>
    <w:bookmarkEnd w:id="103"/>
    <w:bookmarkStart w:id="105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104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105"/>
    <w:bookmarkStart w:id="107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06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07"/>
    <w:bookmarkStart w:id="109" w:name="ref-MickeyGreenland1989"/>
    <w:p>
      <w:pPr>
        <w:pStyle w:val="Bibliography"/>
      </w:pPr>
      <w:r>
        <w:t xml:space="preserve">Mickey, Ruth M., and Sander Greenland. 1989.</w:t>
      </w:r>
      <w:r>
        <w:t xml:space="preserve"> </w:t>
      </w:r>
      <w:r>
        <w:t xml:space="preserve">“The Impact of Confounder Selection Criteria on Effect Estimation.”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129 (1): 125–37.</w:t>
      </w:r>
      <w:r>
        <w:t xml:space="preserve"> </w:t>
      </w:r>
      <w:hyperlink r:id="rId108">
        <w:r>
          <w:rPr>
            <w:rStyle w:val="Hyperlink"/>
          </w:rPr>
          <w:t xml:space="preserve">https://doi.org/10.1093/oxfordjournals.aje.a115101</w:t>
        </w:r>
      </w:hyperlink>
      <w:r>
        <w:t xml:space="preserve">.</w:t>
      </w:r>
    </w:p>
    <w:bookmarkEnd w:id="109"/>
    <w:bookmarkStart w:id="110" w:name="ref-Orwoll1996"/>
    <w:p>
      <w:pPr>
        <w:pStyle w:val="Bibliography"/>
      </w:pPr>
      <w:r>
        <w:t xml:space="preserve">Orwoll, Eric S., Douglas C. Bauer, Thomas M. Vogt, Kathleen M. Fox, and Study of Osteoporotic Fractures Research Group. 1996.</w:t>
      </w:r>
      <w:r>
        <w:t xml:space="preserve"> </w:t>
      </w:r>
      <w:r>
        <w:t xml:space="preserve">“Axial Bone Mass in Older Women.”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124 (3): 187–96.</w:t>
      </w:r>
    </w:p>
    <w:bookmarkEnd w:id="110"/>
    <w:bookmarkStart w:id="111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11"/>
    <w:bookmarkStart w:id="11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3"/>
    <w:bookmarkStart w:id="115" w:name="ref-Vittinghoff2003"/>
    <w:p>
      <w:pPr>
        <w:pStyle w:val="Bibliography"/>
      </w:pPr>
      <w:r>
        <w:t xml:space="preserve">Vittinghoff, Eric, Michael G. Shlipak, Peter D. Varosy, et al. 2003.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139 (4): 274–81.</w:t>
      </w:r>
      <w:r>
        <w:t xml:space="preserve"> </w:t>
      </w:r>
      <w:hyperlink r:id="rId114">
        <w:r>
          <w:rPr>
            <w:rStyle w:val="Hyperlink"/>
          </w:rPr>
          <w:t xml:space="preserve">https://doi.org/10.7326/0003-4819-139-4-200308190-00006</w:t>
        </w:r>
      </w:hyperlink>
      <w:r>
        <w:t xml:space="preserve">.</w:t>
      </w:r>
    </w:p>
    <w:bookmarkEnd w:id="115"/>
    <w:bookmarkStart w:id="117" w:name="ref-Walter2001"/>
    <w:p>
      <w:pPr>
        <w:pStyle w:val="Bibliography"/>
      </w:pPr>
      <w:r>
        <w:t xml:space="preserve">Walter, Louise C., Richard J. Brand, Steven R. Counsell, et al. 2001.</w:t>
      </w:r>
      <w:r>
        <w:t xml:space="preserve"> </w:t>
      </w:r>
      <w:r>
        <w:t xml:space="preserve">“Development and Validation of a Prognostic Index for 1-Year Mortality in Older Adults After Hospitalization.”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285 (23): 2987–94.</w:t>
      </w:r>
      <w:r>
        <w:t xml:space="preserve"> </w:t>
      </w:r>
      <w:hyperlink r:id="rId116">
        <w:r>
          <w:rPr>
            <w:rStyle w:val="Hyperlink"/>
          </w:rPr>
          <w:t xml:space="preserve">https://doi.org/10.1001/jama.285.23.2987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92" Target="media/rId92.png" /><Relationship Type="http://schemas.openxmlformats.org/officeDocument/2006/relationships/image" Id="rId59" Target="media/rId59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6" Target="https://doi.org/10.1001/jama.285.23.2987" TargetMode="External" /><Relationship Type="http://schemas.openxmlformats.org/officeDocument/2006/relationships/hyperlink" Id="rId104" Target="https://doi.org/10.1002/bimj.201700067" TargetMode="External" /><Relationship Type="http://schemas.openxmlformats.org/officeDocument/2006/relationships/hyperlink" Id="rId112" Target="https://doi.org/10.1007/978-1-4614-1353-0" TargetMode="External" /><Relationship Type="http://schemas.openxmlformats.org/officeDocument/2006/relationships/hyperlink" Id="rId108" Target="https://doi.org/10.1093/oxfordjournals.aje.a115101" TargetMode="External" /><Relationship Type="http://schemas.openxmlformats.org/officeDocument/2006/relationships/hyperlink" Id="rId100" Target="https://doi.org/10.2105/AJPH.79.3.340" TargetMode="External" /><Relationship Type="http://schemas.openxmlformats.org/officeDocument/2006/relationships/hyperlink" Id="rId102" Target="https://doi.org/10.7326/0003-4819-135-1-200107030-00007" TargetMode="External" /><Relationship Type="http://schemas.openxmlformats.org/officeDocument/2006/relationships/hyperlink" Id="rId114" Target="https://doi.org/10.7326/0003-4819-139-4-200308190-00006" TargetMode="External" /><Relationship Type="http://schemas.openxmlformats.org/officeDocument/2006/relationships/hyperlink" Id="rId106" Target="https://link.springer.com/book/10.1007/978-1-4419-1742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6" Target="https://doi.org/10.1001/jama.285.23.2987" TargetMode="External" /><Relationship Type="http://schemas.openxmlformats.org/officeDocument/2006/relationships/hyperlink" Id="rId104" Target="https://doi.org/10.1002/bimj.201700067" TargetMode="External" /><Relationship Type="http://schemas.openxmlformats.org/officeDocument/2006/relationships/hyperlink" Id="rId112" Target="https://doi.org/10.1007/978-1-4614-1353-0" TargetMode="External" /><Relationship Type="http://schemas.openxmlformats.org/officeDocument/2006/relationships/hyperlink" Id="rId108" Target="https://doi.org/10.1093/oxfordjournals.aje.a115101" TargetMode="External" /><Relationship Type="http://schemas.openxmlformats.org/officeDocument/2006/relationships/hyperlink" Id="rId100" Target="https://doi.org/10.2105/AJPH.79.3.340" TargetMode="External" /><Relationship Type="http://schemas.openxmlformats.org/officeDocument/2006/relationships/hyperlink" Id="rId102" Target="https://doi.org/10.7326/0003-4819-135-1-200107030-00007" TargetMode="External" /><Relationship Type="http://schemas.openxmlformats.org/officeDocument/2006/relationships/hyperlink" Id="rId114" Target="https://doi.org/10.7326/0003-4819-139-4-200308190-00006" TargetMode="External" /><Relationship Type="http://schemas.openxmlformats.org/officeDocument/2006/relationships/hyperlink" Id="rId106" Target="https://link.springer.com/book/10.1007/978-1-4419-1742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2026-09-10T07:08:19Z</dcterms:created>
  <dcterms:modified xsi:type="dcterms:W3CDTF">2026-09-10T07:08:19Z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Choosing which variables to include in a regression model</vt:lpwstr>
  </property>
  <property fmtid="{D5CDD505-2E9C-101B-9397-08002B2CF9AE}" pid="17" name="toc-title">
    <vt:lpwstr>Table of contents</vt:lpwstr>
  </property>
</Properties>
</file>