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2.png" ContentType="image/png"/>
  <Override PartName="/word/media/rId11.png" ContentType="image/png"/>
  <Override PartName="/word/media/rId120.png" ContentType="image/png"/>
  <Override PartName="/word/media/rId186.png" ContentType="image/png"/>
  <Override PartName="/word/media/rId289.png" ContentType="image/png"/>
  <Override PartName="/word/media/rId108.png" ContentType="image/png"/>
  <Override PartName="/word/media/rId80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83.png" ContentType="image/png"/>
  <Override PartName="/word/media/rId203.png" ContentType="image/png"/>
  <Override PartName="/word/media/rId183.png" ContentType="image/png"/>
  <Override PartName="/word/media/rId309.png" ContentType="image/png"/>
  <Override PartName="/word/media/rId21.png" ContentType="image/png"/>
  <Override PartName="/word/media/rId160.png" ContentType="image/png"/>
  <Override PartName="/word/media/rId166.png" ContentType="image/png"/>
  <Override PartName="/word/media/rId196.png" ContentType="image/png"/>
  <Override PartName="/word/media/rId27.png" ContentType="image/png"/>
  <Override PartName="/word/media/rId227.png" ContentType="image/png"/>
  <Override PartName="/word/media/rId53.png" ContentType="image/png"/>
  <Override PartName="/word/media/rId266.png" ContentType="image/png"/>
  <Override PartName="/word/media/rId57.png" ContentType="image/png"/>
  <Override PartName="/word/media/rId300.png" ContentType="image/png"/>
  <Override PartName="/word/media/rId320.png" ContentType="image/png"/>
  <Override PartName="/word/media/rId324.png" ContentType="image/png"/>
  <Override PartName="/word/media/rId346.png" ContentType="image/png"/>
  <Override PartName="/word/media/rId61.png" ContentType="image/png"/>
  <Override PartName="/word/media/rId88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17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step below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3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7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6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1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2"/>
        </w:tc>
      </w:tr>
    </w:tbl>
    <w:bookmarkEnd w:id="103"/>
    <w:bookmarkStart w:id="112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4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06"/>
        </w:tc>
      </w:tr>
    </w:tbl>
    <w:p>
      <w:pPr>
        <w:pStyle w:val="FirstParagraph"/>
      </w:pPr>
      <w:r>
        <w:t xml:space="preserve">As we will see below,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1"/>
        </w:tc>
      </w:tr>
    </w:tbl>
    <w:bookmarkEnd w:id="112"/>
    <w:bookmarkStart w:id="115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3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4"/>
    <w:bookmarkEnd w:id="115"/>
    <w:bookmarkStart w:id="116" w:name="sec-likelihood-with-censoring"/>
    <w:p>
      <w:pPr>
        <w:pStyle w:val="Heading2"/>
      </w:pPr>
      <w:r>
        <w:t xml:space="preserve">4.8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What’s written above is incomplete.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That is,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16"/>
    <w:bookmarkEnd w:id="117"/>
    <w:bookmarkStart w:id="138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35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8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8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18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18"/>
    <w:bookmarkStart w:id="130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bookmarkEnd w:id="130"/>
    <w:bookmarkStart w:id="133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09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09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9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31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bookmarkEnd w:id="1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3"/>
    <w:bookmarkStart w:id="134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0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0"/>
        </w:numPr>
      </w:pPr>
      <w:r>
        <w:t xml:space="preserve">The most frequently used generalization of the exponential is the</w:t>
      </w:r>
      <w:r>
        <w:t xml:space="preserve"> </w:t>
      </w:r>
      <w:hyperlink r:id="rId136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0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37"/>
    <w:bookmarkEnd w:id="138"/>
    <w:bookmarkStart w:id="148" w:name="nonparametric-survival-analysis"/>
    <w:p>
      <w:pPr>
        <w:pStyle w:val="Heading1"/>
      </w:pPr>
      <w:r>
        <w:t xml:space="preserve">6. Nonparametric Survival Analysis</w:t>
      </w:r>
    </w:p>
    <w:bookmarkStart w:id="14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1"/>
        </w:numPr>
      </w:pPr>
      <w:r>
        <w:t xml:space="preserve">Mostly, we work without a parametric model.</w:t>
      </w:r>
    </w:p>
    <w:p>
      <w:pPr>
        <w:numPr>
          <w:ilvl w:val="0"/>
          <w:numId w:val="1011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1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1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8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39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is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39"/>
          <w:bookmarkStart w:id="141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0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40"/>
              </w:tc>
            </w:tr>
          </w:tbl>
          <w:bookmarkEnd w:id="141"/>
          <w:bookmarkStart w:id="142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42"/>
          <w:bookmarkStart w:id="14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43"/>
              </w:tc>
            </w:tr>
          </w:tbl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44"/>
          <w:bookmarkStart w:id="14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For the placebo, that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45"/>
          <w:bookmarkEnd w:id="146"/>
          <w:p/>
        </w:tc>
      </w:tr>
    </w:tbl>
    <w:bookmarkEnd w:id="147"/>
    <w:bookmarkEnd w:id="148"/>
    <w:bookmarkStart w:id="21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 interval failure probability</w:t>
      </w:r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lemma expressing a conditional survival probability as a ratio of</w:t>
      </w:r>
      <w:r>
        <w:t xml:space="preserve"> </w:t>
      </w:r>
      <w:r>
        <w:t xml:space="preserve">survival function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11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conditional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 survival function values:</w:t>
            </w:r>
          </w:p>
          <w:p>
            <w:pPr>
              <w:pStyle w:val="BodyText"/>
            </w:pPr>
            <w:bookmarkStart w:id="15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7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9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1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10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4"/>
          <w:p/>
        </w:tc>
      </w:tr>
    </w:tbl>
    <w:bookmarkStart w:id="165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12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1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10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157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matches the Kaplan-Meier estimator,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11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9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159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3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1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163"/>
              </w:tc>
            </w:tr>
          </w:tbl>
          <w:bookmarkEnd w:id="164"/>
          <w:p/>
        </w:tc>
      </w:tr>
    </w:tbl>
    <w:bookmarkEnd w:id="165"/>
    <w:bookmarkStart w:id="193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19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19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19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19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19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above show the number at risk at each marked time.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13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 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7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14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15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11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). 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11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This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8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</w:p>
                    </w:tc>
                  </w:tr>
                </w:tbl>
                <w:bookmarkEnd w:id="178"/>
                <w:p/>
              </w:tc>
            </w:tr>
          </w:tbl>
          <w:bookmarkEnd w:id="1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 above for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8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0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19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12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192"/>
        </w:tc>
      </w:tr>
    </w:tbl>
    <w:bookmarkEnd w:id="193"/>
    <w:bookmarkStart w:id="20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13 (Greenwood’s estimator for variance of Kaplan-Meier survival estimator)</w:t>
            </w:r>
          </w:p>
          <w:p>
            <w:pPr>
              <w:pStyle w:val="BodyText"/>
            </w:pPr>
            <w:bookmarkStart w:id="194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4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195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20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14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199"/>
              </w:tc>
            </w:tr>
          </w:tbl>
          <w:bookmarkEnd w:id="200"/>
          <w:p/>
        </w:tc>
      </w:tr>
    </w:tbl>
    <w:bookmarkEnd w:id="201"/>
    <w:bookmarkEnd w:id="202"/>
    <w:bookmarkStart w:id="21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1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1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16"/>
          <w:p/>
        </w:tc>
      </w:tr>
    </w:tbl>
    <w:bookmarkEnd w:id="217"/>
    <w:bookmarkEnd w:id="218"/>
    <w:bookmarkEnd w:id="219"/>
    <w:bookmarkStart w:id="254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2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2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15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21"/>
          <w:p/>
        </w:tc>
      </w:tr>
    </w:tbl>
    <w:bookmarkEnd w:id="222"/>
    <w:bookmarkStart w:id="22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16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25"/>
          <w:p/>
        </w:tc>
      </w:tr>
    </w:tbl>
    <w:bookmarkEnd w:id="226"/>
    <w:bookmarkStart w:id="23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3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30"/>
    <w:bookmarkEnd w:id="231"/>
    <w:bookmarkStart w:id="253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41" w:name="visualization-packages"/>
    <w:p>
      <w:pPr>
        <w:pStyle w:val="Heading3"/>
      </w:pPr>
      <w:r>
        <w:t xml:space="preserve">8.4.1 Visualization Packages</w:t>
      </w:r>
    </w:p>
    <w:bookmarkStart w:id="236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3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4"/>
        </w:numPr>
      </w:pPr>
      <w:r>
        <w:t xml:space="preserve">Developed by</w:t>
      </w:r>
      <w:r>
        <w:t xml:space="preserve"> </w:t>
      </w:r>
      <w:hyperlink r:id="rId23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4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4"/>
        </w:numPr>
      </w:pPr>
      <w:r>
        <w:t xml:space="preserve">Key features:</w:t>
      </w:r>
    </w:p>
    <w:p>
      <w:pPr>
        <w:pStyle w:val="Compact"/>
        <w:numPr>
          <w:ilvl w:val="1"/>
          <w:numId w:val="1025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5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5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5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5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4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4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4"/>
        </w:numPr>
      </w:pPr>
      <w:r>
        <w:t xml:space="preserve">Available on</w:t>
      </w:r>
      <w:r>
        <w:t xml:space="preserve"> </w:t>
      </w:r>
      <w:hyperlink r:id="rId23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35">
        <w:r>
          <w:rPr>
            <w:rStyle w:val="Hyperlink"/>
          </w:rPr>
          <w:t xml:space="preserve">GitHub</w:t>
        </w:r>
      </w:hyperlink>
    </w:p>
    <w:bookmarkEnd w:id="236"/>
    <w:bookmarkStart w:id="238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37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6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6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6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6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6"/>
        </w:numPr>
      </w:pPr>
      <w:r>
        <w:t xml:space="preserve">Can display risk tables, cumulative events, and censoring counts</w:t>
      </w:r>
    </w:p>
    <w:bookmarkEnd w:id="238"/>
    <w:bookmarkStart w:id="240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39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7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 the plotting example above)</w:t>
      </w:r>
    </w:p>
    <w:p>
      <w:pPr>
        <w:pStyle w:val="Compact"/>
        <w:numPr>
          <w:ilvl w:val="0"/>
          <w:numId w:val="1027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7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7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7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7"/>
        </w:numPr>
      </w:pPr>
      <w:r>
        <w:t xml:space="preserve">Also supports many other statistical objects beyond survival analysis</w:t>
      </w:r>
    </w:p>
    <w:bookmarkEnd w:id="240"/>
    <w:bookmarkEnd w:id="241"/>
    <w:bookmarkStart w:id="251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8"/>
        </w:numPr>
      </w:pPr>
      <w:hyperlink r:id="rId242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8"/>
        </w:numPr>
      </w:pPr>
      <w:hyperlink r:id="rId243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8"/>
        </w:numPr>
      </w:pPr>
      <w:hyperlink r:id="rId244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8"/>
        </w:numPr>
      </w:pPr>
      <w:hyperlink r:id="rId245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8"/>
        </w:numPr>
      </w:pPr>
      <w:hyperlink r:id="rId246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8"/>
        </w:numPr>
      </w:pPr>
      <w:hyperlink r:id="rId247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8"/>
        </w:numPr>
      </w:pPr>
      <w:hyperlink r:id="rId248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8"/>
        </w:numPr>
      </w:pPr>
      <w:hyperlink r:id="rId249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8"/>
        </w:numPr>
      </w:pPr>
      <w:hyperlink r:id="rId250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51"/>
    <w:bookmarkStart w:id="252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29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29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2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52"/>
    <w:bookmarkEnd w:id="253"/>
    <w:bookmarkEnd w:id="254"/>
    <w:bookmarkStart w:id="296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5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56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1"/>
        </w:numPr>
      </w:pPr>
      <w:r>
        <w:t xml:space="preserve">The log-rank test is a large-sample chi-square test.</w:t>
      </w:r>
    </w:p>
    <w:p>
      <w:pPr>
        <w:numPr>
          <w:ilvl w:val="0"/>
          <w:numId w:val="1031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1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1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57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 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57"/>
    <w:bookmarkStart w:id="259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58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9"/>
    <w:bookmarkStart w:id="263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14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60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61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1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62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63"/>
    <w:bookmarkStart w:id="264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"/>
          </m:rPr>
          <m:t>O</m:t>
        </m:r>
        <m:r>
          <m:rPr>
            <m:sty m:val="p"/>
          </m:rPr>
          <m:t>−</m:t>
        </m:r>
        <m:r>
          <m:rPr>
            <m:sty m:val="b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"/>
            </m:rPr>
            <m:t>O</m:t>
          </m:r>
          <m:r>
            <m:rPr>
              <m:sty m:val="p"/>
            </m:rPr>
            <m:t>−</m:t>
          </m:r>
          <m:r>
            <m:rPr>
              <m:sty m:val="b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"/>
            </m:rPr>
            <m:t>O</m:t>
          </m:r>
          <m:r>
            <m:rPr>
              <m:sty m:val="p"/>
            </m:rPr>
            <m:t>−</m:t>
          </m:r>
          <m:r>
            <m:rPr>
              <m:sty m:val="b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"/>
          </m:rPr>
          <m:t>O</m:t>
        </m:r>
        <m:r>
          <m:rPr>
            <m:sty m:val="p"/>
          </m:rPr>
          <m:t>−</m:t>
        </m:r>
        <m:r>
          <m:rPr>
            <m:sty m:val="b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64"/>
    <w:bookmarkStart w:id="265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65"/>
    <w:bookmarkStart w:id="295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1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 The table below 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9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6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69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0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70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18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5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75"/>
              </w:tc>
            </w:tr>
          </w:tbl>
          <w:bookmarkStart w:id="280" w:name="study-design-1"/>
          <w:p>
            <w:pPr>
              <w:pStyle w:val="Heading5"/>
            </w:pPr>
            <w:r>
              <w:t xml:space="preserve">Study design</w:t>
            </w:r>
          </w:p>
          <w:bookmarkStart w:id="276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76"/>
          <w:bookmarkStart w:id="277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77"/>
          <w:bookmarkStart w:id="278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78"/>
          <w:bookmarkStart w:id="279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79"/>
          <w:bookmarkEnd w:id="280"/>
          <w:bookmarkStart w:id="281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81"/>
          <w:bookmarkStart w:id="282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estimate the hazard functions, interpret, and compare them.</w:t>
            </w:r>
          </w:p>
          <w:bookmarkEnd w:id="282"/>
          <w:bookmarkStart w:id="287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6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286"/>
              </w:tc>
            </w:tr>
          </w:tbl>
          <w:bookmarkEnd w:id="287"/>
          <w:bookmarkStart w:id="288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288"/>
          <w:bookmarkStart w:id="293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2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292"/>
              </w:tc>
            </w:tr>
          </w:tbl>
          <w:bookmarkEnd w:id="293"/>
          <w:bookmarkEnd w:id="294"/>
          <w:p/>
        </w:tc>
      </w:tr>
    </w:tbl>
    <w:bookmarkEnd w:id="295"/>
    <w:bookmarkEnd w:id="296"/>
    <w:bookmarkStart w:id="318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7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16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9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9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15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298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8"/>
          </w:p>
          <w:bookmarkEnd w:id="29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17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0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4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</w:p>
                    </w:tc>
                  </w:tr>
                </w:tbl>
                <w:bookmarkEnd w:id="304"/>
                <w:p/>
              </w:tc>
            </w:tr>
          </w:tbl>
          <w:bookmarkEnd w:id="3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6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07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2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3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3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4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1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5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6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16"/>
          <w:p/>
        </w:tc>
      </w:tr>
    </w:tbl>
    <w:bookmarkEnd w:id="317"/>
    <w:bookmarkEnd w:id="318"/>
    <w:bookmarkStart w:id="329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9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17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9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8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19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3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23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7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3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27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28"/>
          <w:p/>
        </w:tc>
      </w:tr>
    </w:tbl>
    <w:bookmarkEnd w:id="329"/>
    <w:bookmarkStart w:id="336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0"/>
        </w:numPr>
      </w:pPr>
      <w:r>
        <w:t xml:space="preserve">Death</w:t>
      </w:r>
    </w:p>
    <w:p>
      <w:pPr>
        <w:pStyle w:val="Compact"/>
        <w:numPr>
          <w:ilvl w:val="0"/>
          <w:numId w:val="1040"/>
        </w:numPr>
      </w:pPr>
      <w:r>
        <w:t xml:space="preserve">Hospitalization</w:t>
      </w:r>
    </w:p>
    <w:p>
      <w:pPr>
        <w:pStyle w:val="Compact"/>
        <w:numPr>
          <w:ilvl w:val="0"/>
          <w:numId w:val="1040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31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0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18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30"/>
        </w:tc>
      </w:tr>
    </w:tbl>
    <w:bookmarkEnd w:id="331"/>
    <w:bookmarkStart w:id="332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32"/>
    <w:bookmarkStart w:id="333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2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3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3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3"/>
        </w:numPr>
      </w:pPr>
      <w:r>
        <w:t xml:space="preserve">Requires specialized methods beyond the scope of these notes</w:t>
      </w:r>
    </w:p>
    <w:bookmarkEnd w:id="333"/>
    <w:bookmarkStart w:id="335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34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35"/>
    <w:bookmarkEnd w:id="336"/>
    <w:bookmarkStart w:id="353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38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7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20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37"/>
          <w:p/>
        </w:tc>
      </w:tr>
    </w:tbl>
    <w:bookmarkEnd w:id="338"/>
    <w:bookmarkStart w:id="340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9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19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39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5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5"/>
        </w:numPr>
      </w:pPr>
      <w:r>
        <w:t xml:space="preserve">Entry into the study cohort (e.g., enrollment)</w:t>
      </w:r>
    </w:p>
    <w:bookmarkEnd w:id="340"/>
    <w:bookmarkStart w:id="341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7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7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8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41"/>
    <w:bookmarkStart w:id="342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49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49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leads to: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42"/>
    <w:bookmarkStart w:id="343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1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1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2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2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3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43"/>
    <w:bookmarkStart w:id="344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is satisfied when:</w:t>
      </w:r>
    </w:p>
    <w:p>
      <w:pPr>
        <w:pStyle w:val="Compact"/>
        <w:numPr>
          <w:ilvl w:val="0"/>
          <w:numId w:val="1054"/>
        </w:numPr>
      </w:pPr>
      <w:r>
        <w:t xml:space="preserve">Disease incidence and post-diagnosis survival are independent</w:t>
      </w:r>
    </w:p>
    <w:bookmarkEnd w:id="344"/>
    <w:bookmarkStart w:id="345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5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5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5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45"/>
    <w:bookmarkStart w:id="350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6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6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49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50"/>
    <w:bookmarkStart w:id="351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7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7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7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51"/>
    <w:bookmarkStart w:id="352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8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8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52"/>
    <w:bookmarkEnd w:id="353"/>
    <w:bookmarkStart w:id="374" w:name="references"/>
    <w:p>
      <w:pPr>
        <w:pStyle w:val="Heading1"/>
      </w:pPr>
      <w:r>
        <w:t xml:space="preserve">References</w:t>
      </w:r>
    </w:p>
    <w:bookmarkStart w:id="373" w:name="refs"/>
    <w:bookmarkStart w:id="355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54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55"/>
    <w:bookmarkStart w:id="357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56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57"/>
    <w:bookmarkStart w:id="359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58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59"/>
    <w:bookmarkStart w:id="36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61"/>
    <w:bookmarkStart w:id="362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62"/>
    <w:bookmarkStart w:id="36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63"/>
    <w:bookmarkStart w:id="36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6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65"/>
    <w:bookmarkStart w:id="3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6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67"/>
    <w:bookmarkStart w:id="368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68"/>
    <w:bookmarkStart w:id="370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6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70"/>
    <w:bookmarkStart w:id="3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72"/>
    <w:bookmarkEnd w:id="373"/>
    <w:bookmarkEnd w:id="3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2" Target="media/rId272.png" /><Relationship Type="http://schemas.openxmlformats.org/officeDocument/2006/relationships/image" Id="rId11" Target="media/rId11.png" /><Relationship Type="http://schemas.openxmlformats.org/officeDocument/2006/relationships/image" Id="rId120" Target="media/rId120.png" /><Relationship Type="http://schemas.openxmlformats.org/officeDocument/2006/relationships/image" Id="rId186" Target="media/rId186.png" /><Relationship Type="http://schemas.openxmlformats.org/officeDocument/2006/relationships/image" Id="rId289" Target="media/rId289.png" /><Relationship Type="http://schemas.openxmlformats.org/officeDocument/2006/relationships/image" Id="rId108" Target="media/rId108.png" /><Relationship Type="http://schemas.openxmlformats.org/officeDocument/2006/relationships/image" Id="rId80" Target="media/rId80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83" Target="media/rId283.png" /><Relationship Type="http://schemas.openxmlformats.org/officeDocument/2006/relationships/image" Id="rId203" Target="media/rId203.png" /><Relationship Type="http://schemas.openxmlformats.org/officeDocument/2006/relationships/image" Id="rId183" Target="media/rId183.png" /><Relationship Type="http://schemas.openxmlformats.org/officeDocument/2006/relationships/image" Id="rId309" Target="media/rId309.png" /><Relationship Type="http://schemas.openxmlformats.org/officeDocument/2006/relationships/image" Id="rId21" Target="media/rId21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96" Target="media/rId196.png" /><Relationship Type="http://schemas.openxmlformats.org/officeDocument/2006/relationships/image" Id="rId27" Target="media/rId27.png" /><Relationship Type="http://schemas.openxmlformats.org/officeDocument/2006/relationships/image" Id="rId227" Target="media/rId227.png" /><Relationship Type="http://schemas.openxmlformats.org/officeDocument/2006/relationships/image" Id="rId53" Target="media/rId53.png" /><Relationship Type="http://schemas.openxmlformats.org/officeDocument/2006/relationships/image" Id="rId266" Target="media/rId266.png" /><Relationship Type="http://schemas.openxmlformats.org/officeDocument/2006/relationships/image" Id="rId57" Target="media/rId57.png" /><Relationship Type="http://schemas.openxmlformats.org/officeDocument/2006/relationships/image" Id="rId300" Target="media/rId300.png" /><Relationship Type="http://schemas.openxmlformats.org/officeDocument/2006/relationships/image" Id="rId320" Target="media/rId320.png" /><Relationship Type="http://schemas.openxmlformats.org/officeDocument/2006/relationships/image" Id="rId324" Target="media/rId324.png" /><Relationship Type="http://schemas.openxmlformats.org/officeDocument/2006/relationships/image" Id="rId346" Target="media/rId346.png" /><Relationship Type="http://schemas.openxmlformats.org/officeDocument/2006/relationships/image" Id="rId61" Target="media/rId61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2026-07-19T20:35:22Z</dcterms:created>
  <dcterms:modified xsi:type="dcterms:W3CDTF">2026-07-19T20:35:22Z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