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2.png" ContentType="image/png"/>
  <Override PartName="/word/media/rId59.png" ContentType="image/png"/>
  <Override PartName="/word/media/rId70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15" w:name="sec-pred-sel-intro"/>
    <w:p>
      <w:pPr>
        <w:pStyle w:val="Heading1"/>
      </w:pPr>
      <w:r>
        <w:t xml:space="preserve">1. Introduction</w:t>
      </w:r>
    </w:p>
    <w:bookmarkStart w:id="11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Overfitting</w:t>
      </w:r>
      <w:r>
        <w:t xml:space="preserve">: the model fits noise in the training data 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Multicollinearity</w:t>
      </w:r>
      <w:r>
        <w:t xml:space="preserve">: highly correlated 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r>
        <w:t xml:space="preserve">standard errors.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Confounding 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1"/>
    <w:bookmarkStart w:id="12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 causal diagram (DAG)</w:t>
      </w:r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Science-driven selection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 AIC or BIC.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2"/>
    <w:bookmarkStart w:id="14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 confounders.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 mediators or colliders.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14"/>
    <w:bookmarkEnd w:id="15"/>
    <w:bookmarkStart w:id="23" w:name="sec-pred-sel-goals-chapter"/>
    <w:p>
      <w:pPr>
        <w:pStyle w:val="Heading1"/>
      </w:pPr>
      <w:r>
        <w:t xml:space="preserve">2. Inferential Goals</w:t>
      </w:r>
    </w:p>
    <w:bookmarkStart w:id="22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1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 prediction error 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1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r>
        <w:t xml:space="preserve">Overfitting 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 cross-validation 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17"/>
    <w:bookmarkStart w:id="1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18"/>
          <w:p/>
        </w:tc>
      </w:tr>
    </w:tbl>
    <w:p>
      <w:pPr>
        <w:pStyle w:val="BodyText"/>
      </w:pPr>
      <w:r>
        <w:t xml:space="preserve">In observational studies, confounding 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19"/>
    <w:bookmarkStart w:id="21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 statistically significant 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20"/>
          <w:p/>
        </w:tc>
      </w:tr>
    </w:tbl>
    <w:p>
      <w:pPr>
        <w:pStyle w:val="BodyText"/>
      </w:pPr>
      <w:r>
        <w:t xml:space="preserve">Identifying important predictors is the most challenging goal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21"/>
    <w:bookmarkEnd w:id="22"/>
    <w:bookmarkEnd w:id="23"/>
    <w:bookmarkStart w:id="26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25">
        <w:r>
          <w:rPr>
            <w:rStyle w:val="Hyperlink"/>
          </w:rPr>
          <w:t xml:space="preserve">The WCGS DAG example</w:t>
        </w:r>
      </w:hyperlink>
    </w:p>
    <w:bookmarkEnd w:id="26"/>
    <w:bookmarkStart w:id="36" w:name="sec-pred-sel-prediction"/>
    <w:p>
      <w:pPr>
        <w:pStyle w:val="Heading1"/>
      </w:pPr>
      <w:r>
        <w:t xml:space="preserve">4. Prediction</w:t>
      </w:r>
    </w:p>
    <w:bookmarkStart w:id="28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 bias</w:t>
      </w:r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 variance</w:t>
      </w:r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 training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2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28"/>
    <w:bookmarkStart w:id="30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hyperlink w:anchor="tbl-overfi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 development set.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29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 RMSE</w:t>
      </w:r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 overfitting.</w:t>
      </w:r>
    </w:p>
    <w:bookmarkEnd w:id="30"/>
    <w:bookmarkStart w:id="31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 prediction error,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continuous outcomes</w:t>
      </w:r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BIC</w:t>
      </w:r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binary outcomes</w:t>
      </w:r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&gt;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 censored,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 risk score.</w:t>
      </w:r>
    </w:p>
    <w:bookmarkEnd w:id="31"/>
    <w:bookmarkStart w:id="3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 predicted values 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p>
            <w:pPr>
              <w:pStyle w:val="FirstParagraph"/>
            </w:pP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32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 held-out data</w:t>
      </w:r>
      <w:r>
        <w:t xml:space="preserve"> </w:t>
      </w:r>
      <w:r>
        <w:t xml:space="preserve">that did not influence the model fit.</w:t>
      </w:r>
    </w:p>
    <w:bookmarkEnd w:id="33"/>
    <w:bookmarkStart w:id="34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 cross-validation</w:t>
      </w:r>
      <w:r>
        <w:t xml:space="preserve"> </w:t>
      </w:r>
      <w:r>
        <w:t xml:space="preserve">to select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r>
        <w:t xml:space="preserve">mean squared error 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 one standard error 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 bias–variance trade-off: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34"/>
    <w:bookmarkStart w:id="35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r>
        <w:rPr>
          <w:b/>
          <w:bCs/>
        </w:rPr>
        <w:t xml:space="preserve">development set</w:t>
      </w:r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discrepancy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35"/>
    <w:bookmarkEnd w:id="36"/>
    <w:bookmarkStart w:id="53" w:name="sec-pred-sel-eval"/>
    <w:p>
      <w:pPr>
        <w:pStyle w:val="Heading1"/>
      </w:pPr>
      <w:r>
        <w:t xml:space="preserve">5. Evaluating a Predictor of Primary Interest</w:t>
      </w:r>
    </w:p>
    <w:bookmarkStart w:id="37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37"/>
    <w:bookmarkStart w:id="38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 statistical significance</w:t>
      </w:r>
      <w:r>
        <w:t xml:space="preserve"> </w:t>
      </w:r>
      <w:r>
        <w:t xml:space="preserve">in the current data.</w:t>
      </w:r>
      <w:r>
        <w:t xml:space="preserve"> </w:t>
      </w:r>
      <w:r>
        <w:t xml:space="preserve">Including these variables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 confounders</w:t>
      </w:r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38"/>
    <w:bookmarkStart w:id="47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 confounders</w:t>
      </w:r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 p-value,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 bias.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46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 confounding 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 logistic regression 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 standard error.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 collinearity 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46"/>
    <w:bookmarkEnd w:id="47"/>
    <w:bookmarkStart w:id="48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 AIC.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48"/>
    <w:bookmarkStart w:id="49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49"/>
    <w:bookmarkStart w:id="52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 uncorrelated</w:t>
      </w:r>
      <w:r>
        <w:t xml:space="preserve"> </w:t>
      </w:r>
      <w:r>
        <w:t xml:space="preserve">with pre-treatment covariates in expectation.</w:t>
      </w:r>
      <w:r>
        <w:t xml:space="preserve"> </w:t>
      </w:r>
      <w:r>
        <w:t xml:space="preserve">Confounding 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(continuous outcomes).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r>
        <w:t xml:space="preserve">variance inflation 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 Cox models,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 standard errors and p-values.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52"/>
    <w:bookmarkEnd w:id="53"/>
    <w:bookmarkStart w:id="58" w:name="sec-pred-sel-multiple-chapter"/>
    <w:p>
      <w:pPr>
        <w:pStyle w:val="Heading1"/>
      </w:pPr>
      <w:r>
        <w:t xml:space="preserve">6. Identifying Multiple Important Predictors</w:t>
      </w:r>
    </w:p>
    <w:bookmarkStart w:id="54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r>
        <w:t xml:space="preserve">confounding 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r>
        <w:t xml:space="preserve">Overfitting 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r>
        <w:t xml:space="preserve">Collinear 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54"/>
    <w:bookmarkStart w:id="55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55"/>
    <w:bookmarkStart w:id="56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 confounding.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56"/>
    <w:bookmarkStart w:id="57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 Cox model.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57"/>
    <w:bookmarkEnd w:id="58"/>
    <w:bookmarkStart w:id="64" w:name="sec-pred-sel-stepwise"/>
    <w:p>
      <w:pPr>
        <w:pStyle w:val="Heading1"/>
      </w:pPr>
      <w:r>
        <w:t xml:space="preserve">7. Testing-based selection</w:t>
      </w:r>
    </w:p>
    <w:p>
      <w:pPr>
        <w:pStyle w:val="FirstParagraph"/>
      </w:pPr>
      <w:r>
        <w:t xml:space="preserve">Testing-based selection methods use statistical tests</w:t>
      </w:r>
      <w:r>
        <w:t xml:space="preserve"> </w:t>
      </w:r>
      <w:r>
        <w:t xml:space="preserve">(such as F-tests or likelihood ratio tests)</w:t>
      </w:r>
      <w:r>
        <w:t xml:space="preserve"> </w:t>
      </w:r>
      <w:r>
        <w:t xml:space="preserve">to decide which predictors to include in a model.</w:t>
      </w:r>
    </w:p>
    <w:bookmarkStart w:id="62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(overfitting).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P-values and confidence intervals are biased 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(DAGs),</w:t>
            </w:r>
            <w:r>
              <w:t xml:space="preserve"> </w:t>
            </w:r>
            <w:r>
              <w:t xml:space="preserve">cross-validation, or penalized methods (such as LASSO)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62"/>
    <w:bookmarkStart w:id="63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63"/>
    <w:bookmarkEnd w:id="64"/>
    <w:bookmarkStart w:id="68" w:name="sec-pred-sel-aic-bic"/>
    <w:p>
      <w:pPr>
        <w:pStyle w:val="Heading1"/>
      </w:pPr>
      <w:r>
        <w:t xml:space="preserve">8. Criterion-based selection</w:t>
      </w:r>
    </w:p>
    <w:bookmarkStart w:id="6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(Akaike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(Bayesian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 log-likelihood,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65"/>
    <w:bookmarkStart w:id="6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66"/>
        </w:tc>
      </w:tr>
    </w:tbl>
    <w:bookmarkEnd w:id="67"/>
    <w:bookmarkEnd w:id="68"/>
    <w:bookmarkStart w:id="81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69" w:name="the-lasso"/>
    <w:p>
      <w:pPr>
        <w:pStyle w:val="Heading2"/>
      </w:pPr>
      <w:r>
        <w:t xml:space="preserve">9.1 The LASSO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LASSO</w:t>
      </w:r>
      <w:r>
        <w:t xml:space="preserve"> </w:t>
      </w:r>
      <w:r>
        <w:t xml:space="preserve">(Least Absolute Shrinkage and Selection Operator)</w:t>
      </w:r>
      <w:r>
        <w:t xml:space="preserve"> </w:t>
      </w:r>
      <w:r>
        <w:t xml:space="preserve">adds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to the log-likelihood: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β</m:t>
              </m:r>
            </m:lim>
          </m:limLow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ℓ</m:t>
                  </m:r>
                </m:e>
              </m:acc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 (ordinary least squares).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cross-validation.</w:t>
      </w:r>
    </w:p>
    <w:bookmarkEnd w:id="69"/>
    <w:bookmarkStart w:id="80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78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79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80"/>
    <w:bookmarkEnd w:id="81"/>
    <w:bookmarkStart w:id="96" w:name="sec-pred-sel-details"/>
    <w:p>
      <w:pPr>
        <w:pStyle w:val="Heading1"/>
      </w:pPr>
      <w:r>
        <w:t xml:space="preserve">10. Some Details</w:t>
      </w:r>
    </w:p>
    <w:bookmarkStart w:id="85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3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 correlation 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82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 statistically significant in simpler models.</w:t>
      </w:r>
      <w:r>
        <w:t xml:space="preserve"> </w:t>
      </w:r>
      <w:r>
        <w:t xml:space="preserve">The joint F-test 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r>
        <w:t xml:space="preserve">Cross-validation determines whether each contributes.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 confounder,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 standard error,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84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3" w:name="exm-vif-toy"/>
          <w:p>
            <w:pPr>
              <w:pStyle w:val="BodyText"/>
            </w:pPr>
            <w:r>
              <w:rPr>
                <w:b/>
                <w:bCs/>
              </w:rPr>
              <w:t xml:space="preserve">Example 4 (Variance inflation and standard error inflation)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candidate predictors in a linear model.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have correlation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regressing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0.95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0.9025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variance inflation factor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VIF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0.9025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0.0975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10.26</m:t>
                </m:r>
              </m:oMath>
            </m:oMathPara>
          </w:p>
          <w:p>
            <w:pPr>
              <w:pStyle w:val="FirstParagraph"/>
            </w:pPr>
            <w:r>
              <w:t xml:space="preserve">Because variance is inflated by a factor of 10.26,</w:t>
            </w:r>
            <w:r>
              <w:t xml:space="preserve"> </w:t>
            </w:r>
            <w:r>
              <w:t xml:space="preserve">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increased by a factor of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10.26</m:t>
                  </m:r>
                </m:e>
              </m:rad>
              <m:r>
                <m:rPr>
                  <m:sty m:val="p"/>
                </m:rPr>
                <m:t>≈</m:t>
              </m:r>
              <m:r>
                <m:t>3.20</m:t>
              </m:r>
            </m:oMath>
            <w:r>
              <w:t xml:space="preserve"> </w:t>
            </w:r>
            <w:r>
              <w:t xml:space="preserve">compared to an orthogonal design with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3"/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79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84"/>
    <w:bookmarkEnd w:id="85"/>
    <w:bookmarkStart w:id="88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EPV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 standard errors are unusually large,</w:t>
      </w:r>
      <w:r>
        <w:t xml:space="preserve"> </w:t>
      </w:r>
      <w:r>
        <w:t xml:space="preserve">and whether Wald and likelihood ratio test p-values</w:t>
      </w:r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88"/>
    <w:bookmarkStart w:id="91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AIC,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91"/>
    <w:bookmarkStart w:id="95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 p-values and confidence intervals 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r>
        <w:t xml:space="preserve">Cross-validation of a PE measure protects against overfitting</w:t>
      </w:r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95"/>
    <w:bookmarkEnd w:id="96"/>
    <w:bookmarkStart w:id="97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7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7"/>
        </w:numPr>
      </w:pPr>
      <w:r>
        <w:t xml:space="preserve">Use cross-validation of a target PE measure</w:t>
      </w:r>
      <w:r>
        <w:t xml:space="preserve"> </w:t>
      </w:r>
      <w:r>
        <w:t xml:space="preserve">to select among models without overfitting.</w:t>
      </w:r>
    </w:p>
    <w:p>
      <w:pPr>
        <w:pStyle w:val="Compact"/>
        <w:numPr>
          <w:ilvl w:val="0"/>
          <w:numId w:val="1027"/>
        </w:numPr>
      </w:pPr>
      <w:r>
        <w:t xml:space="preserve">Shrinkage methods (LASSO,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28"/>
        </w:numPr>
      </w:pPr>
      <w:r>
        <w:t xml:space="preserve">Use a DAG to identify confounders, mediators, and colliders.</w:t>
      </w:r>
    </w:p>
    <w:p>
      <w:pPr>
        <w:pStyle w:val="Compact"/>
        <w:numPr>
          <w:ilvl w:val="0"/>
          <w:numId w:val="1028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28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28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28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29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29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29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Collinearity between a primary predictor and a confounder</w:t>
      </w:r>
      <w:r>
        <w:t xml:space="preserve"> </w:t>
      </w:r>
      <w:r>
        <w:t xml:space="preserve">can inflate standard errors; between adjustment variables, it does not.</w:t>
      </w:r>
    </w:p>
    <w:p>
      <w:pPr>
        <w:pStyle w:val="Compact"/>
        <w:numPr>
          <w:ilvl w:val="0"/>
          <w:numId w:val="1030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0"/>
        </w:numPr>
      </w:pPr>
      <w:r>
        <w:t xml:space="preserve">Model selection complicates inference:</w:t>
      </w:r>
      <w:r>
        <w:t xml:space="preserve"> </w:t>
      </w:r>
      <w:r>
        <w:t xml:space="preserve">nominal p-values and confidence intervals are anticonservative</w:t>
      </w:r>
      <w:r>
        <w:t xml:space="preserve"> </w:t>
      </w:r>
      <w:r>
        <w:t xml:space="preserve">when predictors have been selected from the data.</w:t>
      </w:r>
    </w:p>
    <w:bookmarkEnd w:id="97"/>
    <w:bookmarkStart w:id="98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98"/>
    <w:bookmarkStart w:id="119" w:name="references"/>
    <w:p>
      <w:pPr>
        <w:pStyle w:val="Heading1"/>
      </w:pPr>
      <w:r>
        <w:t xml:space="preserve">References</w:t>
      </w:r>
    </w:p>
    <w:bookmarkStart w:id="118" w:name="refs"/>
    <w:bookmarkStart w:id="99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99"/>
    <w:bookmarkStart w:id="101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100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01"/>
    <w:bookmarkStart w:id="103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02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03"/>
    <w:bookmarkStart w:id="105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04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05"/>
    <w:bookmarkStart w:id="107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07"/>
    <w:bookmarkStart w:id="109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08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09"/>
    <w:bookmarkStart w:id="110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10"/>
    <w:bookmarkStart w:id="111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11"/>
    <w:bookmarkStart w:id="11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3"/>
    <w:bookmarkStart w:id="115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14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15"/>
    <w:bookmarkStart w:id="117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16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2" Target="media/rId92.png" /><Relationship Type="http://schemas.openxmlformats.org/officeDocument/2006/relationships/image" Id="rId59" Target="media/rId59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6" Target="https://doi.org/10.1001/jama.285.23.2987" TargetMode="External" /><Relationship Type="http://schemas.openxmlformats.org/officeDocument/2006/relationships/hyperlink" Id="rId104" Target="https://doi.org/10.1002/bimj.201700067" TargetMode="External" /><Relationship Type="http://schemas.openxmlformats.org/officeDocument/2006/relationships/hyperlink" Id="rId112" Target="https://doi.org/10.1007/978-1-4614-1353-0" TargetMode="External" /><Relationship Type="http://schemas.openxmlformats.org/officeDocument/2006/relationships/hyperlink" Id="rId108" Target="https://doi.org/10.1093/oxfordjournals.aje.a115101" TargetMode="External" /><Relationship Type="http://schemas.openxmlformats.org/officeDocument/2006/relationships/hyperlink" Id="rId100" Target="https://doi.org/10.2105/AJPH.79.3.340" TargetMode="External" /><Relationship Type="http://schemas.openxmlformats.org/officeDocument/2006/relationships/hyperlink" Id="rId102" Target="https://doi.org/10.7326/0003-4819-135-1-200107030-00007" TargetMode="External" /><Relationship Type="http://schemas.openxmlformats.org/officeDocument/2006/relationships/hyperlink" Id="rId114" Target="https://doi.org/10.7326/0003-4819-139-4-200308190-00006" TargetMode="External" /><Relationship Type="http://schemas.openxmlformats.org/officeDocument/2006/relationships/hyperlink" Id="rId106" Target="https://link.springer.com/book/10.1007/978-1-4419-1742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6" Target="https://doi.org/10.1001/jama.285.23.2987" TargetMode="External" /><Relationship Type="http://schemas.openxmlformats.org/officeDocument/2006/relationships/hyperlink" Id="rId104" Target="https://doi.org/10.1002/bimj.201700067" TargetMode="External" /><Relationship Type="http://schemas.openxmlformats.org/officeDocument/2006/relationships/hyperlink" Id="rId112" Target="https://doi.org/10.1007/978-1-4614-1353-0" TargetMode="External" /><Relationship Type="http://schemas.openxmlformats.org/officeDocument/2006/relationships/hyperlink" Id="rId108" Target="https://doi.org/10.1093/oxfordjournals.aje.a115101" TargetMode="External" /><Relationship Type="http://schemas.openxmlformats.org/officeDocument/2006/relationships/hyperlink" Id="rId100" Target="https://doi.org/10.2105/AJPH.79.3.340" TargetMode="External" /><Relationship Type="http://schemas.openxmlformats.org/officeDocument/2006/relationships/hyperlink" Id="rId102" Target="https://doi.org/10.7326/0003-4819-135-1-200107030-00007" TargetMode="External" /><Relationship Type="http://schemas.openxmlformats.org/officeDocument/2006/relationships/hyperlink" Id="rId114" Target="https://doi.org/10.7326/0003-4819-139-4-200308190-00006" TargetMode="External" /><Relationship Type="http://schemas.openxmlformats.org/officeDocument/2006/relationships/hyperlink" Id="rId106" Target="https://link.springer.com/book/10.1007/978-1-4419-1742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2026-09-26T00:55:08Z</dcterms:created>
  <dcterms:modified xsi:type="dcterms:W3CDTF">2026-09-26T00:55:08Z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