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154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 logistic regression link and inverse link functions</w:t>
            </w:r>
          </w:p>
          <w:bookmarkEnd w:id="46"/>
        </w:tc>
      </w:tr>
    </w:tbl>
    <w:bookmarkEnd w:id="47"/>
    <w:bookmarkStart w:id="5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0"/>
    <w:bookmarkStart w:id="53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"/>
    <w:bookmarkStart w:id="55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60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0"/>
    <w:bookmarkStart w:id="66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66"/>
    <w:bookmarkStart w:id="68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68"/>
    <w:bookmarkStart w:id="77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77"/>
    <w:bookmarkStart w:id="82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81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82"/>
    <w:bookmarkStart w:id="8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83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84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87"/>
    <w:bookmarkStart w:id="96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8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9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9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9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96"/>
    <w:bookmarkStart w:id="102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2"/>
    <w:bookmarkStart w:id="10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07"/>
    <w:bookmarkStart w:id="13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11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1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2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2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31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3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36"/>
    <w:bookmarkStart w:id="153" w:name="survival-analysis"/>
    <w:p>
      <w:pPr>
        <w:pStyle w:val="Heading2"/>
      </w:pPr>
      <w:r>
        <w:t xml:space="preserve">4.2 Survival analysis</w:t>
      </w:r>
    </w:p>
    <w:bookmarkStart w:id="13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7"/>
          <w:p/>
        </w:tc>
      </w:tr>
    </w:tbl>
    <w:bookmarkEnd w:id="138"/>
    <w:bookmarkStart w:id="13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9"/>
    <w:bookmarkStart w:id="14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40"/>
    <w:bookmarkStart w:id="14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bookmarkStart w:id="142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hazards assumption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 hazard factorization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Log-hazard decomposition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predictor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multiplier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definition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formula</w:t>
            </w:r>
          </w:p>
        </w:tc>
      </w:tr>
    </w:tbl>
    <w:bookmarkEnd w:id="142"/>
    <w:bookmarkStart w:id="144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3"/>
        </w:tc>
      </w:tr>
    </w:tbl>
    <w:bookmarkEnd w:id="144"/>
    <w:bookmarkStart w:id="152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6"/>
          <w:p/>
        </w:tc>
      </w:tr>
    </w:tbl>
    <w:bookmarkStart w:id="151" w:name="refs"/>
    <w:bookmarkStart w:id="148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47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48"/>
    <w:bookmarkStart w:id="15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4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50"/>
    <w:bookmarkEnd w:id="151"/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2026-08-20T06:39:11Z</dcterms:created>
  <dcterms:modified xsi:type="dcterms:W3CDTF">2026-08-20T06:39:11Z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