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2.png" ContentType="image/png"/>
  <Override PartName="/word/media/rId11.png" ContentType="image/png"/>
  <Override PartName="/word/media/rId120.png" ContentType="image/png"/>
  <Override PartName="/word/media/rId186.png" ContentType="image/png"/>
  <Override PartName="/word/media/rId289.png" ContentType="image/png"/>
  <Override PartName="/word/media/rId108.png" ContentType="image/png"/>
  <Override PartName="/word/media/rId80.png" ContentType="image/png"/>
  <Override PartName="/word/media/rId34.png" ContentType="image/png"/>
  <Override PartName="/word/media/rId45.png" ContentType="image/png"/>
  <Override PartName="/word/media/rId41.png" ContentType="image/png"/>
  <Override PartName="/word/media/rId283.png" ContentType="image/png"/>
  <Override PartName="/word/media/rId203.png" ContentType="image/png"/>
  <Override PartName="/word/media/rId183.png" ContentType="image/png"/>
  <Override PartName="/word/media/rId309.png" ContentType="image/png"/>
  <Override PartName="/word/media/rId21.png" ContentType="image/png"/>
  <Override PartName="/word/media/rId160.png" ContentType="image/png"/>
  <Override PartName="/word/media/rId166.png" ContentType="image/png"/>
  <Override PartName="/word/media/rId196.png" ContentType="image/png"/>
  <Override PartName="/word/media/rId27.png" ContentType="image/png"/>
  <Override PartName="/word/media/rId227.png" ContentType="image/png"/>
  <Override PartName="/word/media/rId53.png" ContentType="image/png"/>
  <Override PartName="/word/media/rId266.png" ContentType="image/png"/>
  <Override PartName="/word/media/rId57.png" ContentType="image/png"/>
  <Override PartName="/word/media/rId300.png" ContentType="image/png"/>
  <Override PartName="/word/media/rId320.png" ContentType="image/png"/>
  <Override PartName="/word/media/rId324.png" ContentType="image/png"/>
  <Override PartName="/word/media/rId346.png" ContentType="image/png"/>
  <Override PartName="/word/media/rId61.png" ContentType="image/png"/>
  <Override PartName="/word/media/rId88.png" ContentType="image/png"/>
  <Override PartName="/word/media/rId92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 PDF, CDF, survival function, inverse survival (quantile) function, hazard, and cumulative hazard</w:t>
      </w:r>
    </w:p>
    <w:p>
      <w:pPr>
        <w:pStyle w:val="Compact"/>
        <w:numPr>
          <w:ilvl w:val="0"/>
          <w:numId w:val="1001"/>
        </w:numPr>
      </w:pPr>
      <w:r>
        <w:t xml:space="preserve">Parametric models for survival data (exponential, Weibull)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 Nelson-Aalen cumulative hazard estimator</w:t>
      </w:r>
    </w:p>
    <w:p>
      <w:pPr>
        <w:pStyle w:val="Compact"/>
        <w:numPr>
          <w:ilvl w:val="0"/>
          <w:numId w:val="1001"/>
        </w:numPr>
      </w:pPr>
      <w:r>
        <w:t xml:space="preserve">The empirical inverse survival function</w:t>
      </w:r>
    </w:p>
    <w:bookmarkEnd w:id="10"/>
    <w:bookmarkStart w:id="14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 Survival outcomes can sometimes be analyzed using binomial models (logistic regression).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14"/>
    <w:bookmarkStart w:id="19" w:name="time-to-event-outcome-distributions"/>
    <w:p>
      <w:pPr>
        <w:pStyle w:val="Heading1"/>
      </w:pPr>
      <w:r>
        <w:t xml:space="preserve">3. Time-to-event outcome distributions</w:t>
      </w:r>
    </w:p>
    <w:bookmarkStart w:id="18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 normal, but exponential.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are</w:t>
      </w:r>
      <w:r>
        <w:t xml:space="preserve"> </w:t>
      </w:r>
      <w:r>
        <w:rPr>
          <w:b/>
          <w:bCs/>
        </w:rPr>
        <w:t xml:space="preserve">right-censored</w:t>
      </w:r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r>
        <w:rPr>
          <w:b/>
          <w:bCs/>
        </w:rPr>
        <w:t xml:space="preserve">left-censored</w:t>
      </w:r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interval-censored</w:t>
      </w:r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is left censored.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17"/>
        </w:tc>
      </w:tr>
    </w:tbl>
    <w:bookmarkEnd w:id="18"/>
    <w:bookmarkEnd w:id="19"/>
    <w:bookmarkStart w:id="117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25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 continuous distribution,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20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 support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1 (exponential distribution)</w:t>
            </w:r>
            <w:r>
              <w:t xml:space="preserve"> </w:t>
            </w:r>
            <w:r>
              <w:t xml:space="preserve">Recall from Epi 202: the pdf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"/>
          <w:p/>
        </w:tc>
      </w:tr>
    </w:tbl>
    <w:bookmarkEnd w:id="25"/>
    <w:bookmarkStart w:id="30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2 (exponential distribution)</w:t>
            </w:r>
            <w:r>
              <w:t xml:space="preserve"> </w:t>
            </w:r>
            <w:r>
              <w:t xml:space="preserve">Recall from Epi 202: the cdf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26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51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expected 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3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 exponential</w:t>
            </w:r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(Soch 2023)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49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4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44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4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49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step below swaps the order of integration</w:t>
            </w:r>
            <w:r>
              <w:t xml:space="preserve"> </w:t>
            </w:r>
            <w:r>
              <w:t xml:space="preserve">by Tonelli’s theorem</w:t>
            </w:r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51"/>
    <w:bookmarkStart w:id="69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For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5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Numerical example.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time?</w:t>
            </w:r>
          </w:p>
          <w:p>
            <w:pPr>
              <w:pStyle w:val="BodyText"/>
            </w:pPr>
            <w:r>
              <w:t xml:space="preserve">The median survival time is the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w:r>
              <w:t xml:space="preserve">half the patients are still alive, i.e. 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0.693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0.347</m:t>
                </m:r>
                <m:r>
                  <m:rPr>
                    <m:nor/>
                    <m:sty m:val="p"/>
                  </m:rPr>
                  <m:t> years.</m:t>
                </m: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65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0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5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5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6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4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65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69"/>
    <w:bookmarkStart w:id="103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6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70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71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7 (Incidence rate)</w:t>
            </w:r>
            <w:r>
              <w:t xml:space="preserve"> </w:t>
            </w:r>
            <w:r>
              <w:t xml:space="preserve">Given a population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 density and survival functions,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7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particular,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so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The hazard function of the exponential 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7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 derivative of the negative of the logarithm 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8 (hazard ratio)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discrete hazard increment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8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6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91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5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95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99"/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02"/>
        </w:tc>
      </w:tr>
    </w:tbl>
    <w:bookmarkEnd w:id="103"/>
    <w:bookmarkStart w:id="112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04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bookmarkEnd w:id="10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integral in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06"/>
        </w:tc>
      </w:tr>
    </w:tbl>
    <w:p>
      <w:pPr>
        <w:pStyle w:val="FirstParagraph"/>
      </w:pPr>
      <w:r>
        <w:t xml:space="preserve">As we will see below,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 hazard function using an approximate derivative</w:t>
      </w:r>
      <w:r>
        <w:t xml:space="preserve"> </w:t>
      </w:r>
      <w:r>
        <w:t xml:space="preserve">of the estimated cumulative hazard.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The cumulative hazard function for the exponential distribution</w:t>
            </w:r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0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11"/>
        </w:tc>
      </w:tr>
    </w:tbl>
    <w:bookmarkEnd w:id="112"/>
    <w:bookmarkStart w:id="115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13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3"/>
    <w:bookmarkStart w:id="114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4"/>
    <w:bookmarkEnd w:id="115"/>
    <w:bookmarkStart w:id="116" w:name="sec-likelihood-with-censoring"/>
    <w:p>
      <w:pPr>
        <w:pStyle w:val="Heading2"/>
      </w:pPr>
      <w:r>
        <w:t xml:space="preserve">4.8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 likelihood</w:t>
      </w:r>
      <w:r>
        <w:t xml:space="preserve"> </w:t>
      </w:r>
      <w:r>
        <w:t xml:space="preserve">of that observation is just its probability density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censored 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 survival function 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What’s written above is incomplete.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 indicator</w:t>
      </w:r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Typically, survival analyses assume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r>
        <w:t xml:space="preserve">independent; this assumption is called</w:t>
      </w:r>
      <w:r>
        <w:t xml:space="preserve"> </w:t>
      </w:r>
      <w:r>
        <w:t xml:space="preserve">“non-informative”</w:t>
      </w:r>
      <w:r>
        <w:t xml:space="preserve"> </w:t>
      </w:r>
      <w:r>
        <w:t xml:space="preserve">censoring.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score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 partial derivative 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 MLE 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That is,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hazard function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 cumulative hazard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16"/>
    <w:bookmarkEnd w:id="117"/>
    <w:bookmarkStart w:id="138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35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8"/>
        </w:numPr>
      </w:pPr>
      <w:r>
        <w:t xml:space="preserve">The exponential distribution 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8"/>
        </w:numPr>
      </w:pPr>
      <w:r>
        <w:t xml:space="preserve">The distribution has a constant hazard</w:t>
      </w:r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8"/>
        </w:numPr>
      </w:pPr>
      <w:r>
        <w:t xml:space="preserve">The mean 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18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18"/>
    <w:bookmarkStart w:id="130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1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2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9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29"/>
          <w:p/>
        </w:tc>
      </w:tr>
    </w:tbl>
    <w:p>
      <w:r>
        <w:pict>
          <v:rect style="width:0;height:1.5pt" o:hralign="center" o:hrstd="t" o:hr="t"/>
        </w:pict>
      </w:r>
    </w:p>
    <w:bookmarkEnd w:id="130"/>
    <w:bookmarkStart w:id="133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09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09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 The log-likelihood 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 likelihood 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9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31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1"/>
          </w:p>
          <w:bookmarkEnd w:id="1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3"/>
    <w:bookmarkStart w:id="134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7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0"/>
        </w:numPr>
      </w:pPr>
      <w:r>
        <w:t xml:space="preserve">Any density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0"/>
        </w:numPr>
      </w:pPr>
      <w:r>
        <w:t xml:space="preserve">The most frequently used generalization of the exponential is the</w:t>
      </w:r>
      <w:r>
        <w:t xml:space="preserve"> </w:t>
      </w:r>
      <w:hyperlink r:id="rId136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0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37"/>
    <w:bookmarkEnd w:id="138"/>
    <w:bookmarkStart w:id="148" w:name="nonparametric-survival-analysis"/>
    <w:p>
      <w:pPr>
        <w:pStyle w:val="Heading1"/>
      </w:pPr>
      <w:r>
        <w:t xml:space="preserve">6. Nonparametric Survival Analysis</w:t>
      </w:r>
    </w:p>
    <w:bookmarkStart w:id="14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1"/>
        </w:numPr>
      </w:pPr>
      <w:r>
        <w:t xml:space="preserve">Mostly, we work without a parametric model.</w:t>
      </w:r>
    </w:p>
    <w:p>
      <w:pPr>
        <w:numPr>
          <w:ilvl w:val="0"/>
          <w:numId w:val="1011"/>
        </w:numPr>
      </w:pPr>
      <w:r>
        <w:t xml:space="preserve">The first task is to estimate a survival function 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1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(censored).</w:t>
      </w:r>
    </w:p>
    <w:p>
      <w:pPr>
        <w:numPr>
          <w:ilvl w:val="0"/>
          <w:numId w:val="1011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8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39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is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(</w:t>
            </w:r>
            <w:r>
              <w:t xml:space="preserve">Freireich et al.</w:t>
            </w:r>
            <w:r>
              <w:t xml:space="preserve"> </w:t>
            </w:r>
            <w:r>
              <w:t xml:space="preserve">1963)</w:t>
            </w:r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39"/>
          <w:bookmarkStart w:id="141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0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40"/>
              </w:tc>
            </w:tr>
          </w:tbl>
          <w:bookmarkEnd w:id="141"/>
          <w:bookmarkStart w:id="142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142"/>
          <w:bookmarkStart w:id="14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143"/>
              </w:tc>
            </w:tr>
          </w:tbl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average time in each group is not useful. Some of the 6-MP</w:t>
            </w:r>
            <w:r>
              <w:t xml:space="preserve"> </w:t>
            </w:r>
            <w:r>
              <w:t xml:space="preserve">patients have not relapsed at the time recorded, while all of the</w:t>
            </w:r>
            <w:r>
              <w:t xml:space="preserve"> </w:t>
            </w:r>
            <w:r>
              <w:t xml:space="preserve">placebo patients have relapsed.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Both are biased down in the 6-MP group. 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144"/>
          <w:bookmarkStart w:id="14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 hazard rate, assuming an exponential model: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For the placebo, that is just the reciprocal of the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145"/>
          <w:bookmarkEnd w:id="146"/>
          <w:p/>
        </w:tc>
      </w:tr>
    </w:tbl>
    <w:bookmarkEnd w:id="147"/>
    <w:bookmarkEnd w:id="148"/>
    <w:bookmarkStart w:id="21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 interval failure probability</w:t>
      </w:r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lemma expressing a conditional survival probability as a ratio of</w:t>
      </w:r>
      <w:r>
        <w:t xml:space="preserve"> </w:t>
      </w:r>
      <w:r>
        <w:t xml:space="preserve">survival function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11 (Interval failure probability)</w:t>
            </w:r>
            <w:r>
              <w:t xml:space="preserve"> </w:t>
            </w:r>
            <w:r>
              <w:t xml:space="preserve">Fix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conditional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 survival function values:</w:t>
            </w:r>
          </w:p>
          <w:p>
            <w:pPr>
              <w:pStyle w:val="BodyText"/>
            </w:pPr>
            <w:bookmarkStart w:id="15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0"/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7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9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1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10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4"/>
          <w:p/>
        </w:tc>
      </w:tr>
    </w:tbl>
    <w:bookmarkStart w:id="165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12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1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10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157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bookmarkEnd w:id="15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matches the Kaplan-Meier estimator,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11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9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159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3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1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163"/>
              </w:tc>
            </w:tr>
          </w:tbl>
          <w:bookmarkEnd w:id="164"/>
          <w:p/>
        </w:tc>
      </w:tr>
    </w:tbl>
    <w:bookmarkEnd w:id="165"/>
    <w:bookmarkStart w:id="193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19"/>
        </w:numPr>
      </w:pPr>
      <w:r>
        <w:t xml:space="preserve">For the 6-MP patients, we cannot ignore the censored 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19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19"/>
        </w:numPr>
      </w:pPr>
      <w:r>
        <w:t xml:space="preserve">The procedure we usually use is the Kaplan-Meier product-limit</w:t>
      </w:r>
      <w:r>
        <w:t xml:space="preserve"> </w:t>
      </w:r>
      <w:r>
        <w:t xml:space="preserve">estimator of the survival function.</w:t>
      </w:r>
    </w:p>
    <w:p>
      <w:pPr>
        <w:numPr>
          <w:ilvl w:val="0"/>
          <w:numId w:val="1019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19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 at-risk set,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above show the number at risk at each marked time.</w:t>
            </w:r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13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 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17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14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1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15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individuals at risk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 survival function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74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 conditional probability 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11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subset property</w:t>
        </w:r>
      </w:hyperlink>
      <w:r>
        <w:t xml:space="preserve">). 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11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This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6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176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 discrete hazard;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8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(km_factor_math[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7"/>
                    <w:gridCol w:w="491"/>
                    <w:gridCol w:w="491"/>
                    <w:gridCol w:w="491"/>
                    <w:gridCol w:w="491"/>
                    <w:gridCol w:w="491"/>
                    <w:gridCol w:w="600"/>
                    <w:gridCol w:w="1365"/>
                    <w:gridCol w:w="1365"/>
                    <w:gridCol w:w="1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178"/>
                <w:p/>
              </w:tc>
            </w:tr>
          </w:tbl>
          <w:bookmarkEnd w:id="17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1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 above for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18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8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0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 median survival time.</w:t>
            </w:r>
          </w:p>
          <w:bookmarkEnd w:id="1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19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2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12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192"/>
        </w:tc>
      </w:tr>
    </w:tbl>
    <w:bookmarkEnd w:id="193"/>
    <w:bookmarkStart w:id="20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 variance 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5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13 (Greenwood’s estimator for variance of Kaplan-Meier survival estimator)</w:t>
            </w:r>
          </w:p>
          <w:p>
            <w:pPr>
              <w:pStyle w:val="BodyText"/>
            </w:pPr>
            <w:bookmarkStart w:id="194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4"/>
          </w:p>
          <w:p>
            <w:pPr>
              <w:pStyle w:val="FirstParagraph"/>
            </w:pPr>
            <w:r>
              <w:t xml:space="preserve">(Klein and Moeschberger 2003, sec. 4.2, eq. (4.2.2))</w:t>
            </w:r>
          </w:p>
          <w:bookmarkEnd w:id="195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for confidence intervals for a survival</w:t>
      </w:r>
      <w:r>
        <w:t xml:space="preserve"> </w:t>
      </w:r>
      <w:r>
        <w:t xml:space="preserve">function or a difference of survival functions.</w:t>
      </w:r>
    </w:p>
    <w:bookmarkStart w:id="20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 independent,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 binomials</w:t>
      </w:r>
      <w:r>
        <w:t xml:space="preserve"> </w:t>
      </w:r>
      <m:oMath>
        <m:r>
          <m:rPr>
            <m:nor/>
            <m:sty m:val="p"/>
          </m:rPr>
          <m:t>Bin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 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14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 Kaplan-Meier 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9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199"/>
              </w:tc>
            </w:tr>
          </w:tbl>
          <w:bookmarkEnd w:id="200"/>
          <w:p/>
        </w:tc>
      </w:tr>
    </w:tbl>
    <w:bookmarkEnd w:id="201"/>
    <w:bookmarkEnd w:id="202"/>
    <w:bookmarkStart w:id="21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1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 at risk.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 The Kaplan Meier estimate 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1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1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16"/>
          <w:p/>
        </w:tc>
      </w:tr>
    </w:tbl>
    <w:bookmarkEnd w:id="217"/>
    <w:bookmarkEnd w:id="218"/>
    <w:bookmarkEnd w:id="219"/>
    <w:bookmarkStart w:id="254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2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2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15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right-censored 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21"/>
          <w:p/>
        </w:tc>
      </w:tr>
    </w:tbl>
    <w:bookmarkEnd w:id="222"/>
    <w:bookmarkStart w:id="22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r>
        <w:t xml:space="preserve">Kaplan-Meier estimate of the survival curve 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16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25"/>
          <w:p/>
        </w:tc>
      </w:tr>
    </w:tbl>
    <w:bookmarkEnd w:id="226"/>
    <w:bookmarkStart w:id="23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3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 quantiles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30"/>
    <w:bookmarkEnd w:id="231"/>
    <w:bookmarkStart w:id="253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241" w:name="visualization-packages"/>
    <w:p>
      <w:pPr>
        <w:pStyle w:val="Heading3"/>
      </w:pPr>
      <w:r>
        <w:t xml:space="preserve">8.4.1 Visualization Packages</w:t>
      </w:r>
    </w:p>
    <w:bookmarkStart w:id="236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3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4"/>
        </w:numPr>
      </w:pPr>
      <w:r>
        <w:t xml:space="preserve">Developed by</w:t>
      </w:r>
      <w:r>
        <w:t xml:space="preserve"> </w:t>
      </w:r>
      <w:hyperlink r:id="rId23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4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4"/>
        </w:numPr>
      </w:pPr>
      <w:r>
        <w:t xml:space="preserve">Key features:</w:t>
      </w:r>
    </w:p>
    <w:p>
      <w:pPr>
        <w:pStyle w:val="Compact"/>
        <w:numPr>
          <w:ilvl w:val="1"/>
          <w:numId w:val="1025"/>
        </w:numPr>
      </w:pPr>
      <w:r>
        <w:t xml:space="preserve">Create Kaplan-Meier 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5"/>
        </w:numPr>
      </w:pPr>
      <w:r>
        <w:t xml:space="preserve">Add confidence intervals 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5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5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5"/>
        </w:numPr>
      </w:pPr>
      <w:r>
        <w:t xml:space="preserve">Support for competing risks 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4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4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4"/>
        </w:numPr>
      </w:pPr>
      <w:r>
        <w:t xml:space="preserve">Available on</w:t>
      </w:r>
      <w:r>
        <w:t xml:space="preserve"> </w:t>
      </w:r>
      <w:hyperlink r:id="rId23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35">
        <w:r>
          <w:rPr>
            <w:rStyle w:val="Hyperlink"/>
          </w:rPr>
          <w:t xml:space="preserve">GitHub</w:t>
        </w:r>
      </w:hyperlink>
    </w:p>
    <w:bookmarkEnd w:id="236"/>
    <w:bookmarkStart w:id="238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37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6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6"/>
        </w:numPr>
      </w:pPr>
      <w:r>
        <w:t xml:space="preserve">Provides functions for visualizing Cox model results</w:t>
      </w:r>
    </w:p>
    <w:p>
      <w:pPr>
        <w:pStyle w:val="Compact"/>
        <w:numPr>
          <w:ilvl w:val="0"/>
          <w:numId w:val="1026"/>
        </w:numPr>
      </w:pPr>
      <w:r>
        <w:t xml:space="preserve">Includes tools for testing proportional hazards assumptions</w:t>
      </w:r>
    </w:p>
    <w:p>
      <w:pPr>
        <w:pStyle w:val="Compact"/>
        <w:numPr>
          <w:ilvl w:val="0"/>
          <w:numId w:val="1026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6"/>
        </w:numPr>
      </w:pPr>
      <w:r>
        <w:t xml:space="preserve">Can display risk tables, cumulative events, and censoring counts</w:t>
      </w:r>
    </w:p>
    <w:bookmarkEnd w:id="238"/>
    <w:bookmarkStart w:id="240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239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7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 the plotting example above)</w:t>
      </w:r>
    </w:p>
    <w:p>
      <w:pPr>
        <w:pStyle w:val="Compact"/>
        <w:numPr>
          <w:ilvl w:val="0"/>
          <w:numId w:val="1027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7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7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7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7"/>
        </w:numPr>
      </w:pPr>
      <w:r>
        <w:t xml:space="preserve">Also supports many other statistical objects beyond survival analysis</w:t>
      </w:r>
    </w:p>
    <w:bookmarkEnd w:id="240"/>
    <w:bookmarkEnd w:id="241"/>
    <w:bookmarkStart w:id="251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8"/>
        </w:numPr>
      </w:pPr>
      <w:hyperlink r:id="rId242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8"/>
        </w:numPr>
      </w:pPr>
      <w:hyperlink r:id="rId243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8"/>
        </w:numPr>
      </w:pPr>
      <w:hyperlink r:id="rId244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8"/>
        </w:numPr>
      </w:pPr>
      <w:hyperlink r:id="rId245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8"/>
        </w:numPr>
      </w:pPr>
      <w:hyperlink r:id="rId246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8"/>
        </w:numPr>
      </w:pPr>
      <w:hyperlink r:id="rId247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8"/>
        </w:numPr>
      </w:pPr>
      <w:hyperlink r:id="rId248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8"/>
        </w:numPr>
      </w:pPr>
      <w:hyperlink r:id="rId249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8"/>
        </w:numPr>
      </w:pPr>
      <w:hyperlink r:id="rId250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251"/>
    <w:bookmarkStart w:id="252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29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29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2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252"/>
    <w:bookmarkEnd w:id="253"/>
    <w:bookmarkEnd w:id="254"/>
    <w:bookmarkStart w:id="296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5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 null hypothesis 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2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 Kaplan-Meier estimates of the survival functions of</w:t>
            </w:r>
            <w:r>
              <w:t xml:space="preserve"> </w:t>
            </w:r>
            <w:r>
              <w:t xml:space="preserve">those groups.</w:t>
            </w:r>
          </w:p>
          <w:bookmarkEnd w:id="256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(Kleinbaum and Klein 2012, sec. IV, pp. 67–68)</w:t>
      </w:r>
      <w:r>
        <w:t xml:space="preserve">:</w:t>
      </w:r>
    </w:p>
    <w:p>
      <w:pPr>
        <w:numPr>
          <w:ilvl w:val="0"/>
          <w:numId w:val="1031"/>
        </w:numPr>
      </w:pPr>
      <w:r>
        <w:t xml:space="preserve">The log-rank test is a large-sample chi-square test.</w:t>
      </w:r>
    </w:p>
    <w:p>
      <w:pPr>
        <w:numPr>
          <w:ilvl w:val="0"/>
          <w:numId w:val="1031"/>
        </w:numPr>
      </w:pPr>
      <w:r>
        <w:t xml:space="preserve">The log-rank test uses a test statistic 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1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1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257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at risk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 Kaplan-Meier estimator</w:t>
      </w:r>
      <w:r>
        <w:t xml:space="preserve"> </w:t>
      </w:r>
      <w:r>
        <w:t xml:space="preserve">elsewhere in this chapter; 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(2012, 67–69)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257"/>
    <w:bookmarkStart w:id="259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 null hypothesis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 hazard 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 risk set</w:t>
      </w:r>
      <w:r>
        <w:t xml:space="preserve"> </w:t>
      </w:r>
      <w:r>
        <w:t xml:space="preserve">(Kleinbaum and Klein 2012, 68,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box)</w:t>
      </w:r>
      <w:r>
        <w:t xml:space="preserve">:</w:t>
      </w:r>
    </w:p>
    <w:p>
      <w:pPr>
        <w:pStyle w:val="BodyText"/>
      </w:pPr>
      <w:bookmarkStart w:id="258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8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9"/>
    <w:bookmarkStart w:id="263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 test statistic.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2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14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260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 variance estimate is</w:t>
            </w:r>
          </w:p>
          <w:p>
            <w:pPr>
              <w:pStyle w:val="BodyText"/>
            </w:pPr>
            <w:bookmarkStart w:id="261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1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(Kleinbaum and Klein 2012, 69–70, two-group variance formula)</w:t>
            </w:r>
          </w:p>
          <w:bookmarkEnd w:id="262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bookmarkEnd w:id="263"/>
    <w:bookmarkStart w:id="264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 variance–covariance</w:t>
      </w:r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 linearly dependent</w:t>
      </w:r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(Kleinbaum and Klein 2012, 71–72 and Chapter 2 Appendix for the matrix</w:t>
      </w:r>
      <w:r>
        <w:t xml:space="preserve"> </w:t>
      </w:r>
      <w:r>
        <w:t xml:space="preserve">formula)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264"/>
    <w:bookmarkStart w:id="265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(Kleinbaum and Klein 2012, 70 (approximate formula))</w:t>
      </w:r>
    </w:p>
    <w:bookmarkEnd w:id="265"/>
    <w:bookmarkStart w:id="295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1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 Kaplan-Meier curve 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 t-test, where the null hypothesis</w:t>
            </w:r>
            <w:r>
              <w:t xml:space="preserve"> </w:t>
            </w:r>
            <w:r>
              <w:t xml:space="preserve">is that the curves are the same. The table below 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9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6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269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0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270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 paired t-test: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27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4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18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(1991)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5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(2003)</w:t>
                  </w:r>
                  <w:r>
                    <w:t xml:space="preserve">)</w:t>
                  </w:r>
                </w:p>
                <w:bookmarkEnd w:id="275"/>
              </w:tc>
            </w:tr>
          </w:tbl>
          <w:bookmarkStart w:id="280" w:name="study-design-1"/>
          <w:p>
            <w:pPr>
              <w:pStyle w:val="Heading5"/>
            </w:pPr>
            <w:r>
              <w:t xml:space="preserve">Study design</w:t>
            </w:r>
          </w:p>
          <w:bookmarkStart w:id="276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276"/>
          <w:bookmarkStart w:id="277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277"/>
          <w:bookmarkStart w:id="278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278"/>
          <w:bookmarkStart w:id="279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279"/>
          <w:bookmarkEnd w:id="280"/>
          <w:bookmarkStart w:id="281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281"/>
          <w:bookmarkStart w:id="282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cumulative hazard curves and compare them.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estimate the hazard functions, interpret, and compare them.</w:t>
            </w:r>
          </w:p>
          <w:bookmarkEnd w:id="282"/>
          <w:bookmarkStart w:id="287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6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286"/>
              </w:tc>
            </w:tr>
          </w:tbl>
          <w:bookmarkEnd w:id="287"/>
          <w:bookmarkStart w:id="288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288"/>
          <w:bookmarkStart w:id="293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 Nelson-Aalen estimator.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92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292"/>
              </w:tc>
            </w:tr>
          </w:tbl>
          <w:bookmarkEnd w:id="293"/>
          <w:bookmarkEnd w:id="294"/>
          <w:p/>
        </w:tc>
      </w:tr>
    </w:tbl>
    <w:bookmarkEnd w:id="295"/>
    <w:bookmarkEnd w:id="296"/>
    <w:bookmarkStart w:id="318" w:name="sec-nelson-aalen"/>
    <w:p>
      <w:pPr>
        <w:pStyle w:val="Heading1"/>
      </w:pPr>
      <w:r>
        <w:t xml:space="preserve">10. Nelson-Aalen Estimates of Cumulative Hazard and Survival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7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16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 hazard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9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9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15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variance of this estimator is approximately:</w:t>
            </w:r>
          </w:p>
          <w:p>
            <w:pPr>
              <w:pStyle w:val="BodyText"/>
            </w:pPr>
            <w:bookmarkStart w:id="298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8"/>
          </w:p>
          <w:bookmarkEnd w:id="29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r>
        <w:t xml:space="preserve">survival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17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01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3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0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5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4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(hazard_math[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5"/>
                    <w:gridCol w:w="398"/>
                    <w:gridCol w:w="398"/>
                    <w:gridCol w:w="398"/>
                    <w:gridCol w:w="398"/>
                    <w:gridCol w:w="398"/>
                    <w:gridCol w:w="486"/>
                    <w:gridCol w:w="1106"/>
                    <w:gridCol w:w="1460"/>
                    <w:gridCol w:w="1371"/>
                    <w:gridCol w:w="123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304"/>
                <w:p/>
              </w:tc>
            </w:tr>
          </w:tbl>
          <w:bookmarkEnd w:id="3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6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7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07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2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3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 median survival time.</w:t>
            </w:r>
          </w:p>
          <w:bookmarkEnd w:id="3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4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1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5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6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16"/>
          <w:p/>
        </w:tc>
      </w:tr>
    </w:tbl>
    <w:bookmarkEnd w:id="317"/>
    <w:bookmarkEnd w:id="318"/>
    <w:bookmarkStart w:id="329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9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17 (Empirical inverse survival function)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9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8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19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3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3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323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7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3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327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 inverse survival function 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 median survival time 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328"/>
          <w:p/>
        </w:tc>
      </w:tr>
    </w:tbl>
    <w:bookmarkEnd w:id="329"/>
    <w:bookmarkStart w:id="336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0"/>
        </w:numPr>
      </w:pPr>
      <w:r>
        <w:t xml:space="preserve">Death</w:t>
      </w:r>
    </w:p>
    <w:p>
      <w:pPr>
        <w:pStyle w:val="Compact"/>
        <w:numPr>
          <w:ilvl w:val="0"/>
          <w:numId w:val="1040"/>
        </w:numPr>
      </w:pPr>
      <w:r>
        <w:t xml:space="preserve">Hospitalization</w:t>
      </w:r>
    </w:p>
    <w:p>
      <w:pPr>
        <w:pStyle w:val="Compact"/>
        <w:numPr>
          <w:ilvl w:val="0"/>
          <w:numId w:val="1040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331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0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18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330"/>
        </w:tc>
      </w:tr>
    </w:tbl>
    <w:bookmarkEnd w:id="331"/>
    <w:bookmarkStart w:id="332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332"/>
    <w:bookmarkStart w:id="333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2"/>
        </w:numPr>
      </w:pPr>
      <w:r>
        <w:t xml:space="preserve">Pooled logistic regression</w:t>
      </w:r>
      <w:r>
        <w:t xml:space="preserve"> </w:t>
      </w:r>
      <w:r>
        <w:t xml:space="preserve">(Vittinghoff et al. 2012, sec. 5.5.2)</w:t>
      </w:r>
      <w:r>
        <w:t xml:space="preserve"> </w:t>
      </w:r>
      <w:r>
        <w:t xml:space="preserve">can handle interval censoring</w:t>
      </w:r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3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3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3"/>
        </w:numPr>
      </w:pPr>
      <w:r>
        <w:t xml:space="preserve">Requires specialized methods beyond the scope of these notes</w:t>
      </w:r>
    </w:p>
    <w:bookmarkEnd w:id="333"/>
    <w:bookmarkStart w:id="335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 randomized trial evaluating HIV prevention</w:t>
      </w:r>
      <w:r>
        <w:t xml:space="preserve"> </w:t>
      </w:r>
      <w:r>
        <w:t xml:space="preserve">(</w:t>
      </w:r>
      <w:r>
        <w:t xml:space="preserve">Bruyn et al.</w:t>
      </w:r>
      <w:r>
        <w:t xml:space="preserve"> </w:t>
      </w:r>
      <w:r>
        <w:t xml:space="preserve">2011)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334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is the defining feature of interval censoring.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 logistic regression</w:t>
      </w:r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(Vittinghoff et al. 2012, sec. 5.5.2)</w:t>
      </w:r>
      <w:r>
        <w:t xml:space="preserve">.</w:t>
      </w:r>
    </w:p>
    <w:bookmarkEnd w:id="335"/>
    <w:bookmarkEnd w:id="336"/>
    <w:bookmarkStart w:id="353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38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7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20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(1989)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r>
              <w:rPr>
                <w:b/>
                <w:bCs/>
              </w:rPr>
              <w:t xml:space="preserve">left-truncation</w:t>
            </w:r>
            <w:r>
              <w:t xml:space="preserve">.</w:t>
            </w:r>
          </w:p>
          <w:bookmarkEnd w:id="337"/>
          <w:p/>
        </w:tc>
      </w:tr>
    </w:tbl>
    <w:bookmarkEnd w:id="338"/>
    <w:bookmarkStart w:id="340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9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19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339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5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5"/>
        </w:numPr>
      </w:pPr>
      <w:r>
        <w:t xml:space="preserve">Entry into the study cohort (e.g., enrollment)</w:t>
      </w:r>
    </w:p>
    <w:bookmarkEnd w:id="340"/>
    <w:bookmarkStart w:id="341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7"/>
        </w:numPr>
      </w:pPr>
      <w:r>
        <w:t xml:space="preserve">Does NOT necessarily imply left-truncation</w:t>
      </w:r>
    </w:p>
    <w:p>
      <w:pPr>
        <w:pStyle w:val="Compact"/>
        <w:numPr>
          <w:ilvl w:val="1"/>
          <w:numId w:val="1047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8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341"/>
    <w:bookmarkStart w:id="342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49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49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leads to: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342"/>
    <w:bookmarkStart w:id="343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1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1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2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2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3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343"/>
    <w:bookmarkStart w:id="344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 independent.</w:t>
      </w:r>
    </w:p>
    <w:p>
      <w:pPr>
        <w:pStyle w:val="BodyText"/>
      </w:pPr>
      <w:r>
        <w:t xml:space="preserve">This is satisfied when:</w:t>
      </w:r>
    </w:p>
    <w:p>
      <w:pPr>
        <w:pStyle w:val="Compact"/>
        <w:numPr>
          <w:ilvl w:val="0"/>
          <w:numId w:val="1054"/>
        </w:numPr>
      </w:pPr>
      <w:r>
        <w:t xml:space="preserve">Disease incidence and post-diagnosis survival are independent</w:t>
      </w:r>
    </w:p>
    <w:bookmarkEnd w:id="344"/>
    <w:bookmarkStart w:id="345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5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5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5"/>
        </w:numPr>
      </w:pPr>
      <m:oMath>
        <m:r>
          <m:t>δ</m:t>
        </m:r>
      </m:oMath>
      <w:r>
        <w:t xml:space="preserve">: censoring indicator</w:t>
      </w:r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345"/>
    <w:bookmarkStart w:id="350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(Dickson et al. 1989)</w:t>
      </w:r>
      <w:r>
        <w:t xml:space="preserve">.</w:t>
      </w:r>
    </w:p>
    <w:p>
      <w:pPr>
        <w:pStyle w:val="BodyText"/>
      </w:pPr>
      <w:r>
        <w:t xml:space="preserve">Here we demonstrate the effect of left-truncation</w:t>
      </w:r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6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6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9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Kaplan-Meier 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349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 risk set that over-represents longer survivors.</w:t>
      </w:r>
    </w:p>
    <w:bookmarkEnd w:id="350"/>
    <w:bookmarkStart w:id="351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7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7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7"/>
        </w:numPr>
      </w:pPr>
      <w:r>
        <w:t xml:space="preserve">Hazard ratios in Cox models 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 bias using the PBC data.</w:t>
      </w:r>
      <w:r>
        <w:t xml:space="preserve"> </w:t>
      </w:r>
      <w:r>
        <w:t xml:space="preserve">The naive analysis treats all participants as entering the risk set</w:t>
      </w:r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351"/>
    <w:bookmarkStart w:id="352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8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8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352"/>
    <w:bookmarkEnd w:id="353"/>
    <w:bookmarkStart w:id="374" w:name="references"/>
    <w:p>
      <w:pPr>
        <w:pStyle w:val="Heading1"/>
      </w:pPr>
      <w:r>
        <w:t xml:space="preserve">References</w:t>
      </w:r>
    </w:p>
    <w:bookmarkStart w:id="373" w:name="refs"/>
    <w:bookmarkStart w:id="355" w:name="ref-debruyn2011mira"/>
    <w:p>
      <w:pPr>
        <w:pStyle w:val="Bibliography"/>
      </w:pPr>
      <w:r>
        <w:t xml:space="preserve">Bruyn, G. de et al.</w:t>
      </w:r>
      <w:r>
        <w:t xml:space="preserve"> 2011.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Trial.”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 </w:t>
      </w:r>
      <w:r>
        <w:t xml:space="preserve">87 (4): 309–15.</w:t>
      </w:r>
      <w:r>
        <w:t xml:space="preserve"> </w:t>
      </w:r>
      <w:hyperlink r:id="rId354">
        <w:r>
          <w:rPr>
            <w:rStyle w:val="Hyperlink"/>
          </w:rPr>
          <w:t xml:space="preserve">https://doi.org/10.1136/sti.2010.044990</w:t>
        </w:r>
      </w:hyperlink>
      <w:r>
        <w:t xml:space="preserve">.</w:t>
      </w:r>
    </w:p>
    <w:bookmarkEnd w:id="355"/>
    <w:bookmarkStart w:id="357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56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57"/>
    <w:bookmarkStart w:id="359" w:name="ref-dickson1989prognosis"/>
    <w:p>
      <w:pPr>
        <w:pStyle w:val="Bibliography"/>
      </w:pPr>
      <w:r>
        <w:t xml:space="preserve">Dickson, E. R., P. M. Grambsch, T. R. Fleming, L. D. Fisher, and A. Langworthy. 1989.</w:t>
      </w:r>
      <w:r>
        <w:t xml:space="preserve"> </w:t>
      </w:r>
      <w:r>
        <w:t xml:space="preserve">“Prognosis in Primary Biliary Cirrhosis: Model for Decision Making.”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 </w:t>
      </w:r>
      <w:r>
        <w:t xml:space="preserve">10 (1): 1–7.</w:t>
      </w:r>
      <w:r>
        <w:t xml:space="preserve"> </w:t>
      </w:r>
      <w:hyperlink r:id="rId358">
        <w:r>
          <w:rPr>
            <w:rStyle w:val="Hyperlink"/>
          </w:rPr>
          <w:t xml:space="preserve">https://doi.org/10.1002/hep.1840100102</w:t>
        </w:r>
      </w:hyperlink>
      <w:r>
        <w:t xml:space="preserve">.</w:t>
      </w:r>
    </w:p>
    <w:bookmarkEnd w:id="359"/>
    <w:bookmarkStart w:id="36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61"/>
    <w:bookmarkStart w:id="362" w:name="ref-freireich1963effect"/>
    <w:p>
      <w:pPr>
        <w:pStyle w:val="Bibliography"/>
      </w:pPr>
      <w:r>
        <w:t xml:space="preserve">Freireich, Emil J. et al.</w:t>
      </w:r>
      <w:r>
        <w:t xml:space="preserve"> 1963.</w:t>
      </w:r>
      <w:r>
        <w:t xml:space="preserve"> </w:t>
      </w:r>
      <w:r>
        <w:t xml:space="preserve">“The Effect of 6-Mercaptopurine on the Duration of Steroid-Induced Remissions in Acute Leukemia.”</w:t>
      </w:r>
      <w:r>
        <w:t xml:space="preserve"> </w:t>
      </w:r>
      <w:r>
        <w:rPr>
          <w:i/>
          <w:iCs/>
        </w:rPr>
        <w:t xml:space="preserve">Blood</w:t>
      </w:r>
      <w:r>
        <w:t xml:space="preserve"> </w:t>
      </w:r>
      <w:r>
        <w:t xml:space="preserve">21: 699–716.</w:t>
      </w:r>
    </w:p>
    <w:bookmarkEnd w:id="362"/>
    <w:bookmarkStart w:id="36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363"/>
    <w:bookmarkStart w:id="36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6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65"/>
    <w:bookmarkStart w:id="3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66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67"/>
    <w:bookmarkStart w:id="368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368"/>
    <w:bookmarkStart w:id="370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369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370"/>
    <w:bookmarkStart w:id="37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7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72"/>
    <w:bookmarkEnd w:id="373"/>
    <w:bookmarkEnd w:id="3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7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2" Target="media/rId272.png" /><Relationship Type="http://schemas.openxmlformats.org/officeDocument/2006/relationships/image" Id="rId11" Target="media/rId11.png" /><Relationship Type="http://schemas.openxmlformats.org/officeDocument/2006/relationships/image" Id="rId120" Target="media/rId120.png" /><Relationship Type="http://schemas.openxmlformats.org/officeDocument/2006/relationships/image" Id="rId186" Target="media/rId186.png" /><Relationship Type="http://schemas.openxmlformats.org/officeDocument/2006/relationships/image" Id="rId289" Target="media/rId289.png" /><Relationship Type="http://schemas.openxmlformats.org/officeDocument/2006/relationships/image" Id="rId108" Target="media/rId108.png" /><Relationship Type="http://schemas.openxmlformats.org/officeDocument/2006/relationships/image" Id="rId80" Target="media/rId80.png" /><Relationship Type="http://schemas.openxmlformats.org/officeDocument/2006/relationships/image" Id="rId34" Target="media/rId34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83" Target="media/rId283.png" /><Relationship Type="http://schemas.openxmlformats.org/officeDocument/2006/relationships/image" Id="rId203" Target="media/rId203.png" /><Relationship Type="http://schemas.openxmlformats.org/officeDocument/2006/relationships/image" Id="rId183" Target="media/rId183.png" /><Relationship Type="http://schemas.openxmlformats.org/officeDocument/2006/relationships/image" Id="rId309" Target="media/rId309.png" /><Relationship Type="http://schemas.openxmlformats.org/officeDocument/2006/relationships/image" Id="rId21" Target="media/rId21.png" /><Relationship Type="http://schemas.openxmlformats.org/officeDocument/2006/relationships/image" Id="rId160" Target="media/rId160.png" /><Relationship Type="http://schemas.openxmlformats.org/officeDocument/2006/relationships/image" Id="rId166" Target="media/rId166.png" /><Relationship Type="http://schemas.openxmlformats.org/officeDocument/2006/relationships/image" Id="rId196" Target="media/rId196.png" /><Relationship Type="http://schemas.openxmlformats.org/officeDocument/2006/relationships/image" Id="rId27" Target="media/rId27.png" /><Relationship Type="http://schemas.openxmlformats.org/officeDocument/2006/relationships/image" Id="rId227" Target="media/rId227.png" /><Relationship Type="http://schemas.openxmlformats.org/officeDocument/2006/relationships/image" Id="rId53" Target="media/rId53.png" /><Relationship Type="http://schemas.openxmlformats.org/officeDocument/2006/relationships/image" Id="rId266" Target="media/rId266.png" /><Relationship Type="http://schemas.openxmlformats.org/officeDocument/2006/relationships/image" Id="rId57" Target="media/rId57.png" /><Relationship Type="http://schemas.openxmlformats.org/officeDocument/2006/relationships/image" Id="rId300" Target="media/rId300.png" /><Relationship Type="http://schemas.openxmlformats.org/officeDocument/2006/relationships/image" Id="rId320" Target="media/rId320.png" /><Relationship Type="http://schemas.openxmlformats.org/officeDocument/2006/relationships/image" Id="rId324" Target="media/rId324.png" /><Relationship Type="http://schemas.openxmlformats.org/officeDocument/2006/relationships/image" Id="rId346" Target="media/rId346.png" /><Relationship Type="http://schemas.openxmlformats.org/officeDocument/2006/relationships/image" Id="rId61" Target="media/rId61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2026-08-20T06:35:18Z</dcterms:created>
  <dcterms:modified xsi:type="dcterms:W3CDTF">2026-08-20T06:35:18Z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