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9.png" ContentType="image/png"/>
  <Override PartName="/word/media/rId49.png" ContentType="image/png"/>
  <Override PartName="/word/media/rId44.png" ContentType="image/png"/>
  <Override PartName="/word/media/rId75.png" ContentType="image/png"/>
  <Override PartName="/word/media/rId71.png" ContentType="image/png"/>
  <Override PartName="/word/media/rId39.png" ContentType="image/png"/>
  <Override PartName="/word/media/rId34.png" ContentType="image/png"/>
  <Override PartName="/word/media/rId89.png" ContentType="image/png"/>
  <Override PartName="/word/media/rId54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and Descriptive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2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is adapted from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2"/>
    <w:bookmarkStart w:id="1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Before fitting regression models,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 the distribution of each variable individually.</w:t>
      </w:r>
    </w:p>
    <w:p>
      <w:pPr>
        <w:pStyle w:val="Compact"/>
        <w:numPr>
          <w:ilvl w:val="0"/>
          <w:numId w:val="1001"/>
        </w:numPr>
      </w:pPr>
      <w:r>
        <w:t xml:space="preserve">Detect unusual values, outliers, and missing data.</w:t>
      </w:r>
    </w:p>
    <w:p>
      <w:pPr>
        <w:pStyle w:val="Compact"/>
        <w:numPr>
          <w:ilvl w:val="0"/>
          <w:numId w:val="1001"/>
        </w:numPr>
      </w:pPr>
      <w:r>
        <w:t xml:space="preserve">Identify patterns and relationships among variables.</w:t>
      </w:r>
    </w:p>
    <w:p>
      <w:pPr>
        <w:pStyle w:val="Compact"/>
        <w:numPr>
          <w:ilvl w:val="0"/>
          <w:numId w:val="1001"/>
        </w:numPr>
      </w:pPr>
      <w:r>
        <w:t xml:space="preserve">Motivate choices of model structure (e.g., transformations).</w:t>
      </w:r>
    </w:p>
    <w:p>
      <w:pPr>
        <w:pStyle w:val="Compact"/>
        <w:numPr>
          <w:ilvl w:val="0"/>
          <w:numId w:val="1001"/>
        </w:numPr>
      </w:pPr>
      <w:r>
        <w:t xml:space="preserve">Provide context for interpreting model results.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this chapter we illustrate exploratory and descriptive techniques</w:t>
      </w:r>
      <w:r>
        <w:t xml:space="preserve"> </w:t>
      </w:r>
      <w:r>
        <w:t xml:space="preserve">using the Western Collaborative Group Study (WCGS) dataset.</w:t>
      </w:r>
    </w:p>
    <w:bookmarkStart w:id="16" w:name="coronary-heart-disease-wcgs-study-data"/>
    <w:p>
      <w:pPr>
        <w:pStyle w:val="Heading3"/>
      </w:pPr>
      <w:r>
        <w:t xml:space="preserve">1.0.1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14"/>
          <w:p/>
        </w:tc>
      </w:tr>
    </w:tbl>
    <w:p>
      <w:r>
        <w:pict>
          <v:rect style="width:0;height:1.5pt" o:hralign="center" o:hrstd="t" o:hr="t"/>
        </w:pict>
      </w:r>
    </w:p>
    <w:bookmarkStart w:id="15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baseline-data-collection"/>
    <w:p>
      <w:pPr>
        <w:pStyle w:val="Heading3"/>
      </w:pPr>
      <w:r>
        <w:t xml:space="preserve">1.0.2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02"/>
        </w:numPr>
      </w:pPr>
      <w:r>
        <w:t xml:space="preserve">age</w:t>
      </w:r>
    </w:p>
    <w:p>
      <w:pPr>
        <w:pStyle w:val="Compact"/>
        <w:numPr>
          <w:ilvl w:val="0"/>
          <w:numId w:val="1002"/>
        </w:numPr>
      </w:pPr>
      <w:r>
        <w:t xml:space="preserve">education</w:t>
      </w:r>
    </w:p>
    <w:p>
      <w:pPr>
        <w:pStyle w:val="Compact"/>
        <w:numPr>
          <w:ilvl w:val="0"/>
          <w:numId w:val="1002"/>
        </w:numPr>
      </w:pPr>
      <w:r>
        <w:t xml:space="preserve">marital status</w:t>
      </w:r>
    </w:p>
    <w:p>
      <w:pPr>
        <w:pStyle w:val="Compact"/>
        <w:numPr>
          <w:ilvl w:val="0"/>
          <w:numId w:val="1002"/>
        </w:numPr>
      </w:pPr>
      <w:r>
        <w:t xml:space="preserve">income</w:t>
      </w:r>
    </w:p>
    <w:p>
      <w:pPr>
        <w:pStyle w:val="Compact"/>
        <w:numPr>
          <w:ilvl w:val="0"/>
          <w:numId w:val="1002"/>
        </w:numPr>
      </w:pPr>
      <w:r>
        <w:t xml:space="preserve">occupation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02"/>
        </w:numPr>
      </w:pPr>
      <w:r>
        <w:t xml:space="preserve">height</w:t>
      </w:r>
    </w:p>
    <w:p>
      <w:pPr>
        <w:pStyle w:val="Compact"/>
        <w:numPr>
          <w:ilvl w:val="0"/>
          <w:numId w:val="1002"/>
        </w:numPr>
      </w:pPr>
      <w:r>
        <w:t xml:space="preserve">weight</w:t>
      </w:r>
    </w:p>
    <w:p>
      <w:pPr>
        <w:pStyle w:val="Compact"/>
        <w:numPr>
          <w:ilvl w:val="0"/>
          <w:numId w:val="1002"/>
        </w:numPr>
      </w:pPr>
      <w:r>
        <w:t xml:space="preserve">blood pressure</w:t>
      </w:r>
    </w:p>
    <w:p>
      <w:pPr>
        <w:pStyle w:val="Compact"/>
        <w:numPr>
          <w:ilvl w:val="0"/>
          <w:numId w:val="1002"/>
        </w:numPr>
      </w:pPr>
      <w:r>
        <w:t xml:space="preserve">electrocardiogram</w:t>
      </w:r>
    </w:p>
    <w:p>
      <w:pPr>
        <w:pStyle w:val="Compact"/>
        <w:numPr>
          <w:ilvl w:val="0"/>
          <w:numId w:val="1002"/>
        </w:numPr>
      </w:pPr>
      <w:r>
        <w:t xml:space="preserve">corneal arcus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03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03"/>
        </w:numPr>
      </w:pPr>
      <w:r>
        <w:t xml:space="preserve">medical and family history and use of medications;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04"/>
        </w:numPr>
      </w:pPr>
      <w:r>
        <w:t xml:space="preserve">Type A interview,</w:t>
      </w:r>
    </w:p>
    <w:p>
      <w:pPr>
        <w:pStyle w:val="Compact"/>
        <w:numPr>
          <w:ilvl w:val="0"/>
          <w:numId w:val="1004"/>
        </w:numPr>
      </w:pPr>
      <w:r>
        <w:t xml:space="preserve">smoking,</w:t>
      </w:r>
    </w:p>
    <w:p>
      <w:pPr>
        <w:pStyle w:val="Compact"/>
        <w:numPr>
          <w:ilvl w:val="0"/>
          <w:numId w:val="1004"/>
        </w:numPr>
      </w:pPr>
      <w:r>
        <w:t xml:space="preserve">exercise</w:t>
      </w:r>
    </w:p>
    <w:p>
      <w:pPr>
        <w:pStyle w:val="Compact"/>
        <w:numPr>
          <w:ilvl w:val="0"/>
          <w:numId w:val="1004"/>
        </w:numPr>
      </w:pPr>
      <w:r>
        <w:t xml:space="preserve">alcohol use.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05"/>
        </w:numPr>
      </w:pPr>
      <w:r>
        <w:t xml:space="preserve">anthropometry</w:t>
      </w:r>
    </w:p>
    <w:p>
      <w:pPr>
        <w:pStyle w:val="Compact"/>
        <w:numPr>
          <w:ilvl w:val="0"/>
          <w:numId w:val="1005"/>
        </w:numPr>
      </w:pPr>
      <w:r>
        <w:t xml:space="preserve">triglycerides</w:t>
      </w:r>
    </w:p>
    <w:p>
      <w:pPr>
        <w:pStyle w:val="Compact"/>
        <w:numPr>
          <w:ilvl w:val="0"/>
          <w:numId w:val="1005"/>
        </w:numPr>
      </w:pPr>
      <w:r>
        <w:t xml:space="preserve">Jenkins Activity Survey</w:t>
      </w:r>
    </w:p>
    <w:p>
      <w:pPr>
        <w:pStyle w:val="Compact"/>
        <w:numPr>
          <w:ilvl w:val="0"/>
          <w:numId w:val="1005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p>
      <w:r>
        <w:pict>
          <v:rect style="width:0;height:1.5pt" o:hralign="center" o:hrstd="t" o:hr="t"/>
        </w:pict>
      </w:r>
    </w:p>
    <w:bookmarkEnd w:id="17"/>
    <w:bookmarkStart w:id="18" w:name="sec-load-wcgs"/>
    <w:p>
      <w:pPr>
        <w:pStyle w:val="Heading2"/>
      </w:pPr>
      <w:r>
        <w:t xml:space="preserve">1.1 Load the data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(kg/m\u00B2)"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  )</w:t>
      </w:r>
    </w:p>
    <w:bookmarkEnd w:id="18"/>
    <w:bookmarkEnd w:id="19"/>
    <w:bookmarkStart w:id="33" w:name="summarizing-a-single-variable"/>
    <w:p>
      <w:pPr>
        <w:pStyle w:val="Heading1"/>
      </w:pPr>
      <w:r>
        <w:t xml:space="preserve">2. Summarizing a single variable</w:t>
      </w:r>
    </w:p>
    <w:bookmarkStart w:id="30" w:name="continuous-variables"/>
    <w:p>
      <w:pPr>
        <w:pStyle w:val="Heading2"/>
      </w:pPr>
      <w:r>
        <w:t xml:space="preserve">2.1 Continuous variables</w:t>
      </w:r>
    </w:p>
    <w:bookmarkStart w:id="22" w:name="measures-of-center"/>
    <w:p>
      <w:pPr>
        <w:pStyle w:val="Heading3"/>
      </w:pPr>
      <w:r>
        <w:t xml:space="preserve">2.1.1 Measures of center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a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measured on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median"/>
          <w:p>
            <w:pPr>
              <w:pStyle w:val="BodyText"/>
            </w:pPr>
            <w:r>
              <w:rPr>
                <w:b/>
                <w:bCs/>
              </w:rPr>
              <w:t xml:space="preserve">Definition 2 (Median)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value that divides the sorted data in half:</w:t>
            </w:r>
            <w:r>
              <w:t xml:space="preserve"> </w:t>
            </w:r>
            <w:r>
              <w:t xml:space="preserve">50% of observations fall below and 50% above.</w:t>
            </w:r>
            <w:r>
              <w:t xml:space="preserve"> </w:t>
            </w:r>
            <w:r>
              <w:t xml:space="preserve">The median is more robust to outliers than the mean.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bookmarkEnd w:id="22"/>
    <w:bookmarkStart w:id="27" w:name="measures-of-spread"/>
    <w:p>
      <w:pPr>
        <w:pStyle w:val="Heading3"/>
      </w:pPr>
      <w:r>
        <w:t xml:space="preserve">2.1.2 Measures of spread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eda-variance"/>
          <w:p>
            <w:pPr>
              <w:pStyle w:val="BodyText"/>
            </w:pPr>
            <w:r>
              <w:rPr>
                <w:b/>
                <w:bCs/>
              </w:rPr>
              <w:t xml:space="preserve">Definition 3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eda-sd"/>
          <w:p>
            <w:pPr>
              <w:pStyle w:val="BodyText"/>
            </w:pPr>
            <w:r>
              <w:rPr>
                <w:b/>
                <w:bCs/>
              </w:rPr>
              <w:t xml:space="preserve">Definition 4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 the square root of the sample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The standard deviation has the same units as the original variable,</w:t>
            </w:r>
            <w:r>
              <w:t xml:space="preserve"> </w:t>
            </w:r>
            <w:r>
              <w:t xml:space="preserve">making it easier to interpret than the variance.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quantile"/>
          <w:p>
            <w:pPr>
              <w:pStyle w:val="BodyText"/>
            </w:pPr>
            <w:r>
              <w:rPr>
                <w:b/>
                <w:bCs/>
              </w:rPr>
              <w:t xml:space="preserve">Definition 5 (Quantiles and percentiles)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</m:oMath>
            <w:r>
              <w:rPr>
                <w:b/>
                <w:bCs/>
              </w:rPr>
              <w:t xml:space="preserve">th quantile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100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th percentile</w:t>
            </w:r>
            <w:r>
              <w:t xml:space="preserve">) of a variable</w:t>
            </w:r>
            <w:r>
              <w:t xml:space="preserve"> </w:t>
            </w:r>
            <w:r>
              <w:t xml:space="preserve">is the value below which a proportion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of the data falls.</w:t>
            </w:r>
          </w:p>
          <w:p>
            <w:pPr>
              <w:pStyle w:val="BodyText"/>
            </w:pPr>
            <w:r>
              <w:t xml:space="preserve">Special cases: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 </w:t>
            </w:r>
            <w:r>
              <w:t xml:space="preserve">is the 50th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quartile</w:t>
            </w:r>
            <w:r>
              <w:t xml:space="preserve"> </w:t>
            </w:r>
            <w:r>
              <w:t xml:space="preserve">(Q1) is the 25th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third quartile</w:t>
            </w:r>
            <w:r>
              <w:t xml:space="preserve"> </w:t>
            </w:r>
            <w:r>
              <w:t xml:space="preserve">(Q3) is the 75th percentile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).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6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</w:t>
            </w:r>
            <w:r>
              <w:t xml:space="preserve"> </w:t>
            </w:r>
            <w:r>
              <w:t xml:space="preserve">(IQR)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IQR contains the middle 50% of the data and</w:t>
            </w:r>
            <w:r>
              <w:t xml:space="preserve"> </w:t>
            </w:r>
            <w:r>
              <w:t xml:space="preserve">is more robust to outliers than the standard deviation.</w:t>
            </w:r>
          </w:p>
          <w:bookmarkEnd w:id="26"/>
        </w:tc>
      </w:tr>
    </w:tbl>
    <w:p>
      <w:r>
        <w:pict>
          <v:rect style="width:0;height:1.5pt" o:hralign="center" o:hrstd="t" o:hr="t"/>
        </w:pict>
      </w:r>
    </w:p>
    <w:bookmarkEnd w:id="27"/>
    <w:bookmarkStart w:id="29" w:name="summary-statistics-in-r"/>
    <w:p>
      <w:pPr>
        <w:pStyle w:val="Heading3"/>
      </w:pPr>
      <w:r>
        <w:t xml:space="preserve">2.1.3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provides a quick overview of any variable: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summary table,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chol, sbp, dbp, bmi, weight)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({sd}); {median} [{p25}, {p75}]"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28"/>
        </w:tc>
      </w:tr>
    </w:tbl>
    <w:bookmarkEnd w:id="29"/>
    <w:bookmarkEnd w:id="30"/>
    <w:bookmarkStart w:id="32" w:name="binary-and-categorical-variables"/>
    <w:p>
      <w:pPr>
        <w:pStyle w:val="Heading2"/>
      </w:pPr>
      <w:r>
        <w:t xml:space="preserve">2.2 Binary and categorical variables</w:t>
      </w:r>
    </w:p>
    <w:p>
      <w:pPr>
        <w:pStyle w:val="FirstParagraph"/>
      </w:pPr>
      <w:r>
        <w:t xml:space="preserve">For binary and categorical variables,</w:t>
      </w:r>
      <w:r>
        <w:t xml:space="preserve"> </w:t>
      </w:r>
      <w:r>
        <w:t xml:space="preserve">the natural descriptive statistics are</w:t>
      </w:r>
      <w: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(counts) and</w:t>
      </w:r>
      <w:r>
        <w:t xml:space="preserve"> </w:t>
      </w:r>
      <w:r>
        <w:rPr>
          <w:b/>
          <w:bCs/>
        </w:rPr>
        <w:t xml:space="preserve">proportions</w:t>
      </w:r>
      <w:r>
        <w:t xml:space="preserve"> </w:t>
      </w:r>
      <w:r>
        <w:t xml:space="preserve">(relative frequencies).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(chd69, smoke, dibpat, behpat, wghtcat)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1"/>
        </w:tc>
      </w:tr>
    </w:tbl>
    <w:bookmarkEnd w:id="32"/>
    <w:bookmarkEnd w:id="33"/>
    <w:bookmarkStart w:id="59" w:name="graphical-methods"/>
    <w:p>
      <w:pPr>
        <w:pStyle w:val="Heading1"/>
      </w:pPr>
      <w:r>
        <w:t xml:space="preserve">3. Graphical methods</w:t>
      </w:r>
    </w:p>
    <w:p>
      <w:pPr>
        <w:pStyle w:val="FirstParagraph"/>
      </w:pPr>
      <w:r>
        <w:t xml:space="preserve">Graphs are often more informative than summary statistics alone.</w:t>
      </w:r>
      <w:r>
        <w:t xml:space="preserve"> </w:t>
      </w:r>
      <w:r>
        <w:t xml:space="preserve">Different graph types are appropriate for different variable types.</w:t>
      </w:r>
    </w:p>
    <w:bookmarkStart w:id="38" w:name="histograms"/>
    <w:p>
      <w:pPr>
        <w:pStyle w:val="Heading2"/>
      </w:pPr>
      <w:r>
        <w:t xml:space="preserve">3.1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its range into bins and counting the number of observations in each.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hist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chol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3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histogram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cholesterol in the WCGS is roughly bell-shaped (approximately normal),</w:t>
      </w:r>
      <w:r>
        <w:t xml:space="preserve"> </w:t>
      </w:r>
      <w:r>
        <w:t xml:space="preserve">with most values between 150 and 350 mg/dL.</w:t>
      </w:r>
    </w:p>
    <w:bookmarkEnd w:id="38"/>
    <w:bookmarkStart w:id="43" w:name="density-plots"/>
    <w:p>
      <w:pPr>
        <w:pStyle w:val="Heading2"/>
      </w:pPr>
      <w:r>
        <w:t xml:space="preserve">3.2 Density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shows a smoothed estimate of the distribution,</w:t>
      </w:r>
      <w:r>
        <w:t xml:space="preserve"> </w:t>
      </w:r>
      <w:r>
        <w:t xml:space="preserve">which can be easier to interpret than a histogram.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density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density-chol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42"/>
        </w:tc>
      </w:tr>
    </w:tbl>
    <w:bookmarkEnd w:id="43"/>
    <w:bookmarkStart w:id="48" w:name="box-plots"/>
    <w:p>
      <w:pPr>
        <w:pStyle w:val="Heading2"/>
      </w:pPr>
      <w:r>
        <w:t xml:space="preserve">3.3 Box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a distribution using</w:t>
      </w:r>
      <w:r>
        <w:t xml:space="preserve"> </w:t>
      </w:r>
      <w:r>
        <w:t xml:space="preserve">the median, quartiles, and extreme values.</w:t>
      </w:r>
    </w:p>
    <w:p>
      <w:pPr>
        <w:pStyle w:val="BodyText"/>
      </w:pPr>
      <w:r>
        <w:t xml:space="preserve">The box spans Q1 to Q3 (the IQR).</w:t>
      </w:r>
      <w:r>
        <w:t xml:space="preserve"> </w:t>
      </w:r>
      <w:r>
        <w:t xml:space="preserve">The line inside the box is the median.</w:t>
      </w:r>
      <w:r>
        <w:t xml:space="preserve"> </w:t>
      </w:r>
      <w:r>
        <w:t xml:space="preserve">The whiskers extend to the most extreme observations</w:t>
      </w:r>
      <w:r>
        <w:t xml:space="preserve"> </w:t>
      </w:r>
      <w:r>
        <w:t xml:space="preserve">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box.</w:t>
      </w:r>
      <w:r>
        <w:t xml:space="preserve"> </w:t>
      </w:r>
      <w:r>
        <w:t xml:space="preserve">Points beyond the whiskers are plotted individually as potential outliers.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box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47"/>
        </w:tc>
      </w:tr>
    </w:tbl>
    <w:bookmarkEnd w:id="48"/>
    <w:bookmarkStart w:id="53" w:name="bar-charts"/>
    <w:p>
      <w:pPr>
        <w:pStyle w:val="Heading2"/>
      </w:pPr>
      <w:r>
        <w:t xml:space="preserve">3.4 Bar charts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frequency or proportion of each category</w:t>
      </w:r>
      <w:r>
        <w:t xml:space="preserve"> </w:t>
      </w:r>
      <w:r>
        <w:t xml:space="preserve">of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bar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ar-behpa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52"/>
        </w:tc>
      </w:tr>
    </w:tbl>
    <w:bookmarkEnd w:id="53"/>
    <w:bookmarkStart w:id="58" w:name="normal-probability-q-q-plots"/>
    <w:p>
      <w:pPr>
        <w:pStyle w:val="Heading2"/>
      </w:pPr>
      <w:r>
        <w:t xml:space="preserve">3.5 Normal probability (Q-Q)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quantile-quantile (Q-Q) plot</w:t>
      </w:r>
      <w:r>
        <w:t xml:space="preserve"> </w:t>
      </w:r>
      <w:r>
        <w:t xml:space="preserve">compares the observed quantiles of a variable</w:t>
      </w:r>
      <w:r>
        <w:t xml:space="preserve"> </w:t>
      </w:r>
      <w:r>
        <w:t xml:space="preserve">to the theoretical quantiles of a normal distribution.</w:t>
      </w:r>
      <w:r>
        <w:t xml:space="preserve"> </w:t>
      </w:r>
      <w:r>
        <w:t xml:space="preserve">If the variable is approximately normally distributed,</w:t>
      </w:r>
      <w:r>
        <w:t xml:space="preserve"> </w:t>
      </w:r>
      <w:r>
        <w:t xml:space="preserve">the points fall close to the diagonal reference line.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qq-cho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qq-chol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57"/>
        </w:tc>
      </w:tr>
    </w:tbl>
    <w:bookmarkEnd w:id="58"/>
    <w:bookmarkEnd w:id="59"/>
    <w:bookmarkStart w:id="88" w:name="bivariate-relationships"/>
    <w:p>
      <w:pPr>
        <w:pStyle w:val="Heading1"/>
      </w:pPr>
      <w:r>
        <w:t xml:space="preserve">4. Bivariate relationships</w:t>
      </w:r>
    </w:p>
    <w:bookmarkStart w:id="70" w:name="Xaa4f477924bb4d887997ec98f31d9675b2cc7e9"/>
    <w:p>
      <w:pPr>
        <w:pStyle w:val="Heading2"/>
      </w:pPr>
      <w:r>
        <w:t xml:space="preserve">4.1 Two continuous variables: scatter plots and correlation</w:t>
      </w:r>
    </w:p>
    <w:bookmarkStart w:id="64" w:name="scatter-plots"/>
    <w:p>
      <w:pPr>
        <w:pStyle w:val="Heading3"/>
      </w:pPr>
      <w:r>
        <w:t xml:space="preserve">4.1.1 Scatter 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relationship between two continuous variables</w:t>
      </w:r>
      <w:r>
        <w:t xml:space="preserve"> </w:t>
      </w:r>
      <w:r>
        <w:t xml:space="preserve">by plotting each observation as a point.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scatter-chol-sb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scatter-chol-sbp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vs. systolic BP in the WCGS dataset</w:t>
            </w:r>
          </w:p>
          <w:bookmarkEnd w:id="63"/>
        </w:tc>
      </w:tr>
    </w:tbl>
    <w:bookmarkEnd w:id="64"/>
    <w:bookmarkStart w:id="69" w:name="correlation"/>
    <w:p>
      <w:pPr>
        <w:pStyle w:val="Heading3"/>
      </w:pPr>
      <w:r>
        <w:t xml:space="preserve">4.1.2 Correlation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correlation"/>
          <w:p>
            <w:pPr>
              <w:pStyle w:val="BodyText"/>
            </w:pPr>
            <w:r>
              <w:rPr>
                <w:b/>
                <w:bCs/>
              </w:rPr>
              <w:t xml:space="preserve">Definition 7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a linear relationship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The correlation coefficient takes values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perfect positive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 perfect negative linear relationship.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no linear relationship.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only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relationships.</w:t>
            </w:r>
            <w:r>
              <w:t xml:space="preserve"> </w:t>
            </w:r>
            <w:r>
              <w:t xml:space="preserve">Two variables can be strongly related but have a near-zero correlation</w:t>
            </w:r>
            <w:r>
              <w:t xml:space="preserve"> </w:t>
            </w:r>
            <w:r>
              <w:t xml:space="preserve">if the relationship is nonlinear.</w:t>
            </w:r>
            <w:r>
              <w:t xml:space="preserve"> </w:t>
            </w:r>
            <w:r>
              <w:t xml:space="preserve">Furthermore, correlation does not imply causation.</w:t>
            </w:r>
          </w:p>
          <w:p/>
        </w:tc>
      </w:tr>
    </w:tbl>
    <w:bookmarkEnd w:id="69"/>
    <w:bookmarkEnd w:id="70"/>
    <w:bookmarkStart w:id="82" w:name="X07275197443f24c03401a9d146ac6347fba19b0"/>
    <w:p>
      <w:pPr>
        <w:pStyle w:val="Heading2"/>
      </w:pPr>
      <w:r>
        <w:t xml:space="preserve">4.2 Continuous outcome by a binary or categorical variable</w:t>
      </w:r>
    </w:p>
    <w:bookmarkStart w:id="79" w:name="side-by-side-box-plots"/>
    <w:p>
      <w:pPr>
        <w:pStyle w:val="Heading3"/>
      </w:pPr>
      <w:r>
        <w:t xml:space="preserve">4.2.1 Side-by-side box plots</w:t>
      </w:r>
    </w:p>
    <w:p>
      <w:pPr>
        <w:pStyle w:val="FirstParagraph"/>
      </w:pPr>
      <w:r>
        <w:t xml:space="preserve">Side-by-side box plots are useful for comparing the distribution of a</w:t>
      </w:r>
      <w:r>
        <w:t xml:space="preserve"> </w:t>
      </w:r>
      <w:r>
        <w:t xml:space="preserve">continuous variable across groups defined by a categorical variable.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smoke)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ox-chol-by-smok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smoke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behpat,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behpat)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box-chol-by-behpa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box-chol-by-behpat-1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78"/>
        </w:tc>
      </w:tr>
    </w:tbl>
    <w:bookmarkEnd w:id="79"/>
    <w:bookmarkStart w:id="81" w:name="summary-statistics-by-group"/>
    <w:p>
      <w:pPr>
        <w:pStyle w:val="Heading3"/>
      </w:pPr>
      <w:r>
        <w:t xml:space="preserve">4.2.2 Summary statistics by group</w:t>
      </w:r>
    </w:p>
    <w:p>
      <w:pPr>
        <w:pStyle w:val="FirstParagraph"/>
      </w:pPr>
      <w:r>
        <w:t xml:space="preserve">We can compute summary statistics separately for each group: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(chol, sbp, bmi,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"{mean} ({sd})"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 summary statistics by CHD status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</w:tbl>
          <w:bookmarkEnd w:id="80"/>
        </w:tc>
      </w:tr>
    </w:tbl>
    <w:bookmarkEnd w:id="81"/>
    <w:bookmarkEnd w:id="82"/>
    <w:bookmarkStart w:id="87" w:name="X31812d815c452e84469b5b8454782f0eb0952ca"/>
    <w:p>
      <w:pPr>
        <w:pStyle w:val="Heading2"/>
      </w:pPr>
      <w:r>
        <w:t xml:space="preserve">4.3 Two categorical variables: contingency tables</w:t>
      </w:r>
    </w:p>
    <w:bookmarkStart w:id="86" w:name="cross-tabulation"/>
    <w:p>
      <w:pPr>
        <w:pStyle w:val="Heading3"/>
      </w:pPr>
      <w:r>
        <w:t xml:space="preserve">4.3.1 Cross-tabulation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 the joint frequency</w:t>
      </w:r>
      <w:r>
        <w:t xml:space="preserve"> </w:t>
      </w:r>
      <w:r>
        <w:t xml:space="preserve">distribution of two categorical 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ross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Cross-tabulation of smoking status and CHD event in WCGS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No  Yes</w:t>
            </w:r>
            <w:r>
              <w:br/>
            </w:r>
            <w:r>
              <w:rPr>
                <w:rStyle w:val="CommentTok"/>
              </w:rPr>
              <w:t xml:space="preserve">#&gt;     No  1554   98</w:t>
            </w:r>
            <w:r>
              <w:br/>
            </w:r>
            <w:r>
              <w:rPr>
                <w:rStyle w:val="CommentTok"/>
              </w:rPr>
              <w:t xml:space="preserve">#&gt;     Yes 1343  159</w:t>
            </w:r>
          </w:p>
          <w:bookmarkEnd w:id="8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compute row proportions to examine the</w:t>
      </w:r>
      <w:r>
        <w:t xml:space="preserve"> </w:t>
      </w:r>
      <w:r>
        <w:t xml:space="preserve">conditional distribution of CHD given smoking status: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cross-smoke-chd-pr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prop.table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smoke,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chd69), </w:t>
            </w:r>
            <w:r>
              <w:rPr>
                <w:rStyle w:val="AttributeTok"/>
              </w:rPr>
              <w:t xml:space="preserve">margin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CHD</w:t>
            </w:r>
            <w:r>
              <w:br/>
            </w:r>
            <w:r>
              <w:rPr>
                <w:rStyle w:val="CommentTok"/>
              </w:rPr>
              <w:t xml:space="preserve">#&gt; Smoking       No      Yes</w:t>
            </w:r>
            <w:r>
              <w:br/>
            </w:r>
            <w:r>
              <w:rPr>
                <w:rStyle w:val="CommentTok"/>
              </w:rPr>
              <w:t xml:space="preserve">#&gt;     No  0.940678 0.059322</w:t>
            </w:r>
            <w:r>
              <w:br/>
            </w:r>
            <w:r>
              <w:rPr>
                <w:rStyle w:val="CommentTok"/>
              </w:rPr>
              <w:t xml:space="preserve">#&gt;     Yes 0.894141 0.105859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for a formatted table: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(smoke,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add_overall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Smoking status and CHD event in WCGS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</w:tbl>
          <w:bookmarkEnd w:id="85"/>
        </w:tc>
      </w:tr>
    </w:tbl>
    <w:bookmarkEnd w:id="86"/>
    <w:bookmarkEnd w:id="87"/>
    <w:bookmarkEnd w:id="88"/>
    <w:bookmarkStart w:id="93" w:name="data-transformations"/>
    <w:p>
      <w:pPr>
        <w:pStyle w:val="Heading1"/>
      </w:pPr>
      <w:r>
        <w:t xml:space="preserve">5. Data transformations</w:t>
      </w:r>
    </w:p>
    <w:p>
      <w:pPr>
        <w:pStyle w:val="FirstParagraph"/>
      </w:pPr>
      <w:r>
        <w:t xml:space="preserve">When a continuous variable has a</w:t>
      </w:r>
      <w:r>
        <w:t xml:space="preserve"> </w:t>
      </w:r>
      <w:r>
        <w:rPr>
          <w:b/>
          <w:bCs/>
        </w:rPr>
        <w:t xml:space="preserve">right-skewed</w:t>
      </w:r>
      <w:r>
        <w:t xml:space="preserve"> </w:t>
      </w:r>
      <w:r>
        <w:t xml:space="preserve">distribution</w:t>
      </w:r>
      <w:r>
        <w:t xml:space="preserve"> </w:t>
      </w:r>
      <w:r>
        <w:t xml:space="preserve">(long tail to the right),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logarithmic transformation</w:t>
      </w:r>
      <w:r>
        <w:t xml:space="preserve"> </w:t>
      </w:r>
      <w:r>
        <w:t xml:space="preserve">often makes the distribution</w:t>
      </w:r>
      <w:r>
        <w:t xml:space="preserve"> </w:t>
      </w:r>
      <w:r>
        <w:t xml:space="preserve">more approximately normal.</w:t>
      </w:r>
      <w:r>
        <w:t xml:space="preserve"> </w:t>
      </w:r>
      <w:r>
        <w:t xml:space="preserve">Log-transformed variables also have a natural multiplicative interpretation:</w:t>
      </w:r>
      <w:r>
        <w:t xml:space="preserve"> </w:t>
      </w:r>
      <w:r>
        <w:t xml:space="preserve">a one-unit increase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WCGS dataset already contains the log-transformed versions of some variables: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lnsbp)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scale"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gridExtra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(p1, p2,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ist-sbp-lo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fig-hist-sbp-log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SBP distribution: raw and log scale (WCGS)</w:t>
            </w:r>
          </w:p>
          <w:bookmarkEnd w:id="9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log-transformed SBP is slightly more symmetric than the raw SBP.</w:t>
      </w:r>
      <w:r>
        <w:t xml:space="preserve"> </w:t>
      </w:r>
      <w:r>
        <w:t xml:space="preserve">Whether to use the transformation in a regression model depends on</w:t>
      </w:r>
      <w:r>
        <w:t xml:space="preserve"> </w:t>
      </w:r>
      <w:r>
        <w:t xml:space="preserve">assumptions of that model and the scientific question.</w:t>
      </w:r>
    </w:p>
    <w:bookmarkEnd w:id="93"/>
    <w:bookmarkStart w:id="95" w:name="putting-it-all-together-an-eda-workflow"/>
    <w:p>
      <w:pPr>
        <w:pStyle w:val="Heading1"/>
      </w:pPr>
      <w:r>
        <w:t xml:space="preserve">6. Putting it all together: an EDA workflow</w:t>
      </w:r>
    </w:p>
    <w:p>
      <w:pPr>
        <w:pStyle w:val="FirstParagraph"/>
      </w:pPr>
      <w:r>
        <w:t xml:space="preserve">A typical exploratory data analysis workflow might proceed as follows: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Understand the dataset</w:t>
      </w:r>
      <w:r>
        <w:t xml:space="preserve">: number of observations, variables, and their types.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Continuous: histogram, box plot, mean, SD, median, IQR.</w:t>
      </w:r>
    </w:p>
    <w:p>
      <w:pPr>
        <w:pStyle w:val="Compact"/>
        <w:numPr>
          <w:ilvl w:val="1"/>
          <w:numId w:val="1010"/>
        </w:numPr>
      </w:pPr>
      <w:r>
        <w:t xml:space="preserve">Categorical: bar chart, frequency table.</w:t>
      </w:r>
    </w:p>
    <w:p>
      <w:pPr>
        <w:pStyle w:val="Compact"/>
        <w:numPr>
          <w:ilvl w:val="1"/>
          <w:numId w:val="1010"/>
        </w:numPr>
      </w:pPr>
      <w:r>
        <w:t xml:space="preserve">Note missing values, unusual values, and outliers.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Two continuous variables: scatter plot, correlation.</w:t>
      </w:r>
    </w:p>
    <w:p>
      <w:pPr>
        <w:pStyle w:val="Compact"/>
        <w:numPr>
          <w:ilvl w:val="1"/>
          <w:numId w:val="1011"/>
        </w:numPr>
      </w:pPr>
      <w:r>
        <w:t xml:space="preserve">Continuous by category: side-by-side box plots, group means.</w:t>
      </w:r>
    </w:p>
    <w:p>
      <w:pPr>
        <w:pStyle w:val="Compact"/>
        <w:numPr>
          <w:ilvl w:val="1"/>
          <w:numId w:val="1011"/>
        </w:numPr>
      </w:pPr>
      <w:r>
        <w:t xml:space="preserve">Two categorical variables: contingency table.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Summarize findings</w:t>
      </w:r>
      <w:r>
        <w:t xml:space="preserve"> </w:t>
      </w:r>
      <w:r>
        <w:t xml:space="preserve">to guide model-building decisions.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age, chol, sbp, dbp, bmi, weight, ncigs,</w:t>
      </w:r>
      <w:r>
        <w:br/>
      </w:r>
      <w:r>
        <w:rPr>
          <w:rStyle w:val="NormalTok"/>
        </w:rPr>
        <w:t xml:space="preserve">    chd69, smoke, dibpat, behpat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Summary of selected WCGS variables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(kg/m²)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94"/>
        </w:tc>
      </w:tr>
    </w:tbl>
    <w:bookmarkEnd w:id="95"/>
    <w:bookmarkStart w:id="101" w:name="references"/>
    <w:p>
      <w:pPr>
        <w:pStyle w:val="Heading1"/>
      </w:pPr>
      <w:r>
        <w:t xml:space="preserve">References</w:t>
      </w:r>
    </w:p>
    <w:bookmarkStart w:id="100" w:name="refs"/>
    <w:bookmarkStart w:id="97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96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97"/>
    <w:bookmarkStart w:id="9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9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9" Target="media/rId9.png" /><Relationship Type="http://schemas.openxmlformats.org/officeDocument/2006/relationships/image" Id="rId49" Target="media/rId49.png" /><Relationship Type="http://schemas.openxmlformats.org/officeDocument/2006/relationships/image" Id="rId44" Target="media/rId44.png" /><Relationship Type="http://schemas.openxmlformats.org/officeDocument/2006/relationships/image" Id="rId75" Target="media/rId75.png" /><Relationship Type="http://schemas.openxmlformats.org/officeDocument/2006/relationships/image" Id="rId71" Target="media/rId71.png" /><Relationship Type="http://schemas.openxmlformats.org/officeDocument/2006/relationships/image" Id="rId39" Target="media/rId39.png" /><Relationship Type="http://schemas.openxmlformats.org/officeDocument/2006/relationships/image" Id="rId34" Target="media/rId34.png" /><Relationship Type="http://schemas.openxmlformats.org/officeDocument/2006/relationships/image" Id="rId89" Target="media/rId89.png" /><Relationship Type="http://schemas.openxmlformats.org/officeDocument/2006/relationships/image" Id="rId54" Target="media/rId54.png" /><Relationship Type="http://schemas.openxmlformats.org/officeDocument/2006/relationships/image" Id="rId60" Target="media/rId60.png" /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i.org/10.1001/jama.1975.03260080034016" TargetMode="External" /><Relationship Type="http://schemas.openxmlformats.org/officeDocument/2006/relationships/hyperlink" Id="rId98" Target="https://doi.org/10.1007/978-1-4614-1353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and Descriptive Methods</dc:title>
  <dc:creator/>
  <cp:keywords/>
  <dcterms:created xsi:type="dcterms:W3CDTF">2026-06-27T04:16:48Z</dcterms:created>
  <dcterms:modified xsi:type="dcterms:W3CDTF">2026-06-27T04:16:48Z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