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40.png" ContentType="image/png"/>
  <Override PartName="/word/media/rId52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2026-05-05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47.43</w:t>
      </w:r>
    </w:p>
    <w:bookmarkEnd w:id="35"/>
    <w:bookmarkStart w:id="37" w:name="code-annotations"/>
    <w:p>
      <w:pPr>
        <w:pStyle w:val="Heading2"/>
      </w:pPr>
      <w:r>
        <w:t xml:space="preserve">5 Code Annotations</w:t>
      </w:r>
    </w:p>
    <w:p>
      <w:pPr>
        <w:pStyle w:val="FirstParagraph"/>
      </w:pPr>
      <w:r>
        <w:t xml:space="preserve">Quarto supports code annotations for detailed explanations:</w:t>
      </w:r>
    </w:p>
    <w:bookmarkStart w:id="36" w:name="annotated-cell-6"/>
    <w:p>
      <w:pPr>
        <w:pStyle w:val="SourceCode"/>
      </w:pP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(data)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(result)</w:t>
      </w:r>
      <w:r>
        <w:br/>
      </w:r>
      <w:r>
        <w:rPr>
          <w:rStyle w:val="CommentTok"/>
        </w:rPr>
        <w:t xml:space="preserve">#&gt; [1] 3</w:t>
      </w:r>
    </w:p>
    <w:bookmarkEnd w:id="36"/>
    <w:p>
      <w:pPr>
        <w:pStyle w:val="DefinitionTerm"/>
      </w:pPr>
      <w:r>
        <w:t xml:space="preserve">Line 1</w:t>
      </w:r>
    </w:p>
    <w:p>
      <w:pPr>
        <w:pStyle w:val="Definition"/>
      </w:pPr>
      <w:r>
        <w:t xml:space="preserve">Load sample data</w:t>
      </w:r>
    </w:p>
    <w:p>
      <w:pPr>
        <w:pStyle w:val="DefinitionTerm"/>
      </w:pPr>
      <w:r>
        <w:t xml:space="preserve">Line 2</w:t>
      </w:r>
    </w:p>
    <w:p>
      <w:pPr>
        <w:pStyle w:val="Definition"/>
      </w:pPr>
      <w:r>
        <w:t xml:space="preserve">Create a simple numeric vector</w:t>
      </w:r>
    </w:p>
    <w:p>
      <w:pPr>
        <w:pStyle w:val="DefinitionTerm"/>
      </w:pPr>
      <w:r>
        <w:t xml:space="preserve">Line 3</w:t>
      </w:r>
    </w:p>
    <w:p>
      <w:pPr>
        <w:pStyle w:val="Definition"/>
      </w:pPr>
      <w:r>
        <w:t xml:space="preserve">Apply the example function from the package</w:t>
      </w:r>
    </w:p>
    <w:p>
      <w:pPr>
        <w:pStyle w:val="DefinitionTerm"/>
      </w:pPr>
      <w:r>
        <w:t xml:space="preserve">Line 4</w:t>
      </w:r>
    </w:p>
    <w:p>
      <w:pPr>
        <w:pStyle w:val="Definition"/>
      </w:pPr>
      <w:r>
        <w:t xml:space="preserve">Display the results</w:t>
      </w:r>
    </w:p>
    <w:bookmarkEnd w:id="37"/>
    <w:bookmarkStart w:id="50" w:name="theorem-environments"/>
    <w:p>
      <w:pPr>
        <w:pStyle w:val="Heading2"/>
      </w:pPr>
      <w:r>
        <w:t xml:space="preserve">6 Theorem Environments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renders Quarto theorem and proof environments as styled callout blocks. This makes theorems, definitions, examples, and proofs visually distinct and easier to navigate.</w:t>
      </w:r>
    </w:p>
    <w:bookmarkStart w:id="43" w:name="definitions-and-theorems"/>
    <w:p>
      <w:pPr>
        <w:pStyle w:val="Heading3"/>
      </w:pPr>
      <w:r>
        <w:t xml:space="preserve">6.1 Definitions and Theorems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def-se"/>
          <w:p>
            <w:pPr>
              <w:pStyle w:val="BodyText"/>
            </w:pPr>
            <w:r>
              <w:rPr>
                <w:b/>
                <w:bCs/>
              </w:rPr>
              <w:t xml:space="preserve">Definition 1 (Standard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 error</w:t>
            </w:r>
            <w:r>
              <w:t xml:space="preserve"> </w:t>
            </w:r>
            <w:r>
              <w:t xml:space="preserve">of the mean for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standard deviation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</m:oMath>
            </m:oMathPara>
          </w:p>
          <w:bookmarkEnd w:id="3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" w:name="thm-clt"/>
          <w:p>
            <w:pPr>
              <w:pStyle w:val="BodyText"/>
            </w:pPr>
            <w:r>
              <w:rPr>
                <w:b/>
                <w:bCs/>
              </w:rPr>
              <w:t xml:space="preserve">Theorem 1 (Central Limit Theorem)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independent and identically distributed random variables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finite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Then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num>
                  <m:den>
                    <m:r>
                      <m:t>σ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 any standard probability textbook.</w:t>
            </w:r>
          </w:p>
          <w:p/>
        </w:tc>
      </w:tr>
    </w:tbl>
    <w:bookmarkEnd w:id="43"/>
    <w:bookmarkStart w:id="46" w:name="lemmas-and-corollaries"/>
    <w:p>
      <w:pPr>
        <w:pStyle w:val="Heading3"/>
      </w:pPr>
      <w:r>
        <w:t xml:space="preserve">6.2 Lemmas and Corollaries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4" w:name="lem-var-sum"/>
          <w:p>
            <w:pPr>
              <w:pStyle w:val="BodyText"/>
            </w:pPr>
            <w:r>
              <w:rPr>
                <w:b/>
                <w:bCs/>
              </w:rPr>
              <w:t xml:space="preserve">Lemma 1 (Variance of a Sum)</w:t>
            </w:r>
            <w:r>
              <w:t xml:space="preserve"> </w:t>
            </w:r>
            <w:r>
              <w:t xml:space="preserve">For independent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" w:name="cor-se-clt"/>
          <w:p>
            <w:pPr>
              <w:pStyle w:val="BodyText"/>
            </w:pPr>
            <w:r>
              <w:rPr>
                <w:b/>
                <w:bCs/>
              </w:rPr>
              <w:t xml:space="preserve">Corollary 1 (Confidence Interval from CLT)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clt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se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 an approximate 95% confidence interval for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⋅</m:t>
                </m:r>
                <m:r>
                  <m:t>S</m:t>
                </m:r>
                <m:r>
                  <m:t>E</m:t>
                </m:r>
              </m:oMath>
            </m:oMathPara>
          </w:p>
          <w:bookmarkEnd w:id="45"/>
        </w:tc>
      </w:tr>
    </w:tbl>
    <w:bookmarkEnd w:id="46"/>
    <w:bookmarkStart w:id="49" w:name="examples-and-exercises"/>
    <w:p>
      <w:pPr>
        <w:pStyle w:val="Heading3"/>
      </w:pPr>
      <w:r>
        <w:t xml:space="preserve">6.3 Examples and Exercises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exm-ci"/>
          <w:p>
            <w:pPr>
              <w:pStyle w:val="BodyText"/>
            </w:pPr>
            <w:r>
              <w:rPr>
                <w:b/>
                <w:bCs/>
              </w:rPr>
              <w:t xml:space="preserve">Example 1 (95% Confidence Interval)</w:t>
            </w:r>
            <w:r>
              <w:t xml:space="preserve"> </w:t>
            </w:r>
            <w:r>
              <w:t xml:space="preserve">For the sample below, we calculate a 95% confidence interval for the mean: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sample_vals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(sample_vals)</w:t>
            </w:r>
            <w:r>
              <w:br/>
            </w:r>
            <w:r>
              <w:rPr>
                <w:rStyle w:val="NormalTok"/>
              </w:rPr>
              <w:t xml:space="preserve">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 = %.3f, 95%% CI: [%.3f, %.3f]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(sample_vals), ci[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ci[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Mean = 4.929, 95% CI: [4.290, 5.567]</w:t>
            </w:r>
          </w:p>
          <w:bookmarkEnd w:id="4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8" w:name="exr-se"/>
          <w:p>
            <w:pPr>
              <w:pStyle w:val="BodyText"/>
            </w:pPr>
            <w:r>
              <w:rPr>
                <w:b/>
                <w:bCs/>
              </w:rPr>
              <w:t xml:space="preserve">Exercise 1 (Exercise: Computing Standard Error)</w:t>
            </w:r>
            <w:r>
              <w:t xml:space="preserve"> </w:t>
            </w:r>
            <w:r>
              <w:t xml:space="preserve">Compute the standard error for a sample of size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with sample standard deviation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.</w:t>
            </w:r>
          </w:p>
          <w:bookmarkEnd w:id="4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100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1.5</m:t>
                </m:r>
              </m:oMath>
            </m:oMathPara>
          </w:p>
          <w:p/>
        </w:tc>
      </w:tr>
    </w:tbl>
    <w:bookmarkEnd w:id="49"/>
    <w:bookmarkEnd w:id="50"/>
    <w:bookmarkStart w:id="51" w:name="mathematical-notation"/>
    <w:p>
      <w:pPr>
        <w:pStyle w:val="Heading2"/>
      </w:pPr>
      <w:r>
        <w:t xml:space="preserve">7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51"/>
    <w:bookmarkStart w:id="55" w:name="tips-and-best-practices"/>
    <w:p>
      <w:pPr>
        <w:pStyle w:val="Heading2"/>
      </w:pPr>
      <w:r>
        <w:t xml:space="preserve">8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55"/>
    <w:bookmarkStart w:id="56" w:name="conclusion"/>
    <w:p>
      <w:pPr>
        <w:pStyle w:val="Heading2"/>
      </w:pPr>
      <w:r>
        <w:t xml:space="preserve">9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56"/>
    <w:bookmarkStart w:id="60" w:name="learn-more"/>
    <w:p>
      <w:pPr>
        <w:pStyle w:val="Heading2"/>
      </w:pPr>
      <w:r>
        <w:t xml:space="preserve">10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57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58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59">
        <w:r>
          <w:rPr>
            <w:rStyle w:val="Hyperlink"/>
          </w:rPr>
          <w:t xml:space="preserve">Quarto documentation</w:t>
        </w:r>
      </w:hyperlink>
    </w:p>
    <w:bookmarkEnd w:id="60"/>
    <w:bookmarkStart w:id="62" w:name="references"/>
    <w:p>
      <w:pPr>
        <w:pStyle w:val="Heading2"/>
      </w:pPr>
      <w:r>
        <w:t xml:space="preserve">11 References</w:t>
      </w:r>
    </w:p>
    <w:bookmarkStart w:id="61" w:name="refs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40" Target="media/rId40.png" /><Relationship Type="http://schemas.openxmlformats.org/officeDocument/2006/relationships/image" Id="rId52" Target="media/rId52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58" Target="https://github.com/UCD-SERG/rpt" TargetMode="External" /><Relationship Type="http://schemas.openxmlformats.org/officeDocument/2006/relationships/hyperlink" Id="rId59" Target="https://quarto.org/" TargetMode="External" /><Relationship Type="http://schemas.openxmlformats.org/officeDocument/2006/relationships/hyperlink" Id="rId57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8" Target="https://github.com/UCD-SERG/rpt" TargetMode="External" /><Relationship Type="http://schemas.openxmlformats.org/officeDocument/2006/relationships/hyperlink" Id="rId59" Target="https://quarto.org/" TargetMode="External" /><Relationship Type="http://schemas.openxmlformats.org/officeDocument/2006/relationships/hyperlink" Id="rId57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2026-05-05T19:23:00Z</dcterms:created>
  <dcterms:modified xsi:type="dcterms:W3CDTF">2026-05-05T19:23:00Z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2026-05-05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