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20"/>
    <w:bookmarkStart w:id="21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21"/>
    <w:bookmarkStart w:id="22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22"/>
    <w:bookmarkStart w:id="35" w:name="quarto-features"/>
    <w:p>
      <w:pPr>
        <w:pStyle w:val="Heading2"/>
      </w:pPr>
      <w:r>
        <w:t xml:space="preserve">4 Quarto Features</w:t>
      </w:r>
    </w:p>
    <w:bookmarkStart w:id="29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9"/>
    <w:bookmarkStart w:id="34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33"/>
        </w:tc>
      </w:tr>
    </w:tbl>
    <w:bookmarkEnd w:id="34"/>
    <w:bookmarkEnd w:id="35"/>
    <w:bookmarkStart w:id="36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6"/>
    <w:bookmarkStart w:id="38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pkgdown and offer enhanced capabilities for technical documentation.</w:t>
      </w:r>
    </w:p>
    <w:bookmarkEnd w:id="39"/>
    <w:bookmarkStart w:id="47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6" w:name="refs"/>
    <w:bookmarkStart w:id="43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42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3"/>
    <w:bookmarkStart w:id="45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2026-01-30T20:59:48Z</dcterms:created>
  <dcterms:modified xsi:type="dcterms:W3CDTF">2026-01-30T20:59:48Z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