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before="0" w:lineRule="auto"/>
        <w:rPr>
          <w:rFonts w:ascii="Arial" w:cs="Arial" w:eastAsia="Arial" w:hAnsi="Arial"/>
          <w:color w:val="222222"/>
        </w:rPr>
      </w:pPr>
      <w:bookmarkStart w:colFirst="0" w:colLast="0" w:name="_c5gdt3k90ui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36"/>
          <w:szCs w:val="36"/>
          <w:rtl w:val="0"/>
        </w:rPr>
        <w:t xml:space="preserve">Практическая работа №1 - Бизнес и его 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</w:rPr>
      </w:pPr>
      <w:bookmarkStart w:colFirst="0" w:colLast="0" w:name="_63afdyz3lkz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34"/>
          <w:szCs w:val="34"/>
          <w:rtl w:val="0"/>
        </w:rPr>
        <w:t xml:space="preserve">Краткая версия паспорта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Строка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Бизнес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90" w:before="90" w:lineRule="auto"/>
              <w:rPr>
                <w:rFonts w:ascii="Arial" w:cs="Arial" w:eastAsia="Arial" w:hAnsi="Arial"/>
                <w:color w:val="0000ee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ПАО «МТС-Банк», цифровой розничный банк экосистемы МТС; отрасль - банки / финтех, РФ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Масштаб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90" w:before="90" w:lineRule="auto"/>
              <w:rPr>
                <w:rFonts w:ascii="Arial" w:cs="Arial" w:eastAsia="Arial" w:hAnsi="Arial"/>
                <w:color w:val="0000ee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Операционные доходы до резервов 67,0 млрд ₽ за 2025 год (МСФО)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Направления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Чистые процентные доходы ≈ 69%, комиссионные и прочие непроцентные ≈ 31% (расчет по МСФО 2025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ИТ-функция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Предварительно: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100+ продуктовых команд, собственная разработка (Java/Kotlin/Go, React), собственная АБС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; состояние и зона - после диагноза ПР1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Ограничения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90" w:before="9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Только открытые данные; NDA нет; нормировка не применяется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color w:val="222222"/>
        </w:rPr>
      </w:pPr>
      <w:bookmarkStart w:colFirst="0" w:colLast="0" w:name="_mziwxybcbhsl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34"/>
          <w:szCs w:val="34"/>
        </w:rPr>
      </w:pPr>
      <w:bookmarkStart w:colFirst="0" w:colLast="0" w:name="_fv3t0xb2qp1k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34"/>
          <w:szCs w:val="34"/>
          <w:rtl w:val="0"/>
        </w:rPr>
        <w:t xml:space="preserve">1. Разложение бизнеса по составляющим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6xueio4804ms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1.1. Бизнес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ПАО «МТС-Банк» (MOEX: MBNK), генеральная лицензия ЦБ РФ №2268. Универсальный коммерческий банк, с 2019 года - основа финтех-направления экосистемы МТС. Входит в число 30 ведущих банков России по активам.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Отрасль: банковский сектор / финтех (розничный банк)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Выручка-аналог: операционные доходы до формирования резервов - 67,0 млрд ₽ за 2025 г. (−4,2% г/г)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Чистая прибыль по МСФО: 14,4 млрд ₽ (+16,7% г/г)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Источник: пресс-релиз банка, ТАСС, Ведомости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8gbg7f3a3hr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bva35xbmpjk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ltbbkzfigns4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1.2. Направления выручки</w:t>
      </w:r>
    </w:p>
    <w:tbl>
      <w:tblPr>
        <w:tblStyle w:val="Table2"/>
        <w:tblW w:w="9025.511811023624" w:type="dxa"/>
        <w:jc w:val="left"/>
        <w:tblBorders>
          <w:top w:color="222222" w:space="0" w:sz="4" w:val="single"/>
          <w:left w:color="222222" w:space="0" w:sz="4" w:val="single"/>
          <w:bottom w:color="222222" w:space="0" w:sz="4" w:val="single"/>
          <w:right w:color="222222" w:space="0" w:sz="4" w:val="single"/>
          <w:insideH w:color="222222" w:space="0" w:sz="4" w:val="single"/>
          <w:insideV w:color="222222" w:space="0" w:sz="4" w:val="single"/>
        </w:tblBorders>
        <w:tblLayout w:type="fixed"/>
        <w:tblLook w:val="0600"/>
      </w:tblPr>
      <w:tblGrid>
        <w:gridCol w:w="3512.297645258798"/>
        <w:gridCol w:w="2756.6070828824127"/>
        <w:gridCol w:w="2756.6070828824127"/>
        <w:tblGridChange w:id="0">
          <w:tblGrid>
            <w:gridCol w:w="3512.297645258798"/>
            <w:gridCol w:w="2756.6070828824127"/>
            <w:gridCol w:w="2756.607082882412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Направление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Объем 2025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Доля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Чистые процентные доходы (кредитование физлиц, МСБ, корп. сегмент, размещение средств)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2"/>
                <w:szCs w:val="22"/>
                <w:rtl w:val="0"/>
              </w:rPr>
              <w:t xml:space="preserve">≈ 46 млрд ₽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≈ 69%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Чистые комиссионные и прочие непроцентные доходы (эквайринг, РКО, переводы, страховые продукты, BNPL «Флекс», МТС Pay)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21 млрд ₽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≈ 31%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Стратегия 2025–2028: довести долю комиссионного дохода до &gt;50% выручки за счет развития небанковских сервисов экосистемы.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3k0g2tqi3r3t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1.3. Клиенты и каналы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Клиенты: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Физические лица - основной сегмент (daily banking, розничное кредитование, карты «МТС Деньги»)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МСБ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Корпоративный сегмент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Каналы продаж и обслуживания: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Мобильное приложение и веб-банк (цифровые продажи)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Салоны связи МТС и клиентская база телекома (кросс-продажи)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Партнерские точки POS-кредитования в ритейле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МТС Pay, BNPL-сервис «Флекс»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Отделения банка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Масштаб клиентской базы: выпущено &gt;4,5 млн карт «МТС Деньги», оборот по дебетовым продуктам - 108 млрд ₽, &gt;90% операций вне телекома. Потенциал масштабирования - 80-миллионная клиентская база экосистемы МТС. Допущение: ≈4 млн активных клиентов; доля цифровых продаж кредитов наличными - &gt;85%.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color w:val="222222"/>
        </w:rPr>
      </w:pPr>
      <w:bookmarkStart w:colFirst="0" w:colLast="0" w:name="_aitjlp87nkao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1.4. Ключевые процессы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Привлечение клиента - лид из экосистемы МТС / салона / цифровой рекламы → верификация → открытие счета/выпуск карты.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Скоринг и одобрение продукта - запрос клиента (кредит, карта, BNPL) → антифрод-проверка → скоринг → решение.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Выдача продукта и обслуживание - активация продукта, транзакции, начисления, коммуникация с клиентом.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Монетизация - списание процентов/комиссий, эквайринговые сборы, комиссии партнеров.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Взыскание и работа с проблемной задолженностью - просрочка → реструктуризация → коллекшн → резервирование.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vf8bjthyqyti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1.5. ИТ-функция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Размер и устройство: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100+ продуктовых команд, работающих по Agile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Собственная команда АБС: развитие и эксплуатация автоматизированной банковской системы «от проектирования продуктов до эксплуатации»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Серверная часть: Java, Kotlin, Go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Клиентская часть: TypeScript, React, Next.js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Ключевые роли в открытых вакансиях: бизнес-аналитик, DevOps-инженер, CTO, ведущий аналитик антифрод-систем, старший разработчик АБС ЦФТ.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Услуги ИТ-функции бизнесу: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Разработка и поддержка цифровых каналов (мобильное приложение, веб)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Развитие продуктовых линий (кредиты, карты, BNPL, МТС Pay)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Эксплуатация АБС и процессинга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Антифрод и риск-аналитика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Интеграция с экосистемой МТС (единый ID, кросс-продажи)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Поставщики: ЦФТ (АБС), вендоры процессинга, инфраструктурные провайдеры (конкретные контракты закрыты - допущение).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qkk77mlumjlh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1.6. Связь и безопасность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Связь: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Корпоративная почта, мессенджер, телефония, видеосвязь, VPN - предположительно на базе решений МТС (как материнской телеком-компании) - допущение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После 2022 года вероятны миграции инструментов (как и у всего рынка) - точных публичных инцидентов не зафиксировано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Безопасность: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Банк подпадает под: 152-ФЗ (перс. данные), 187-ФЗ (КИИ), требования ЦБ РФ (СТО БР ИББС, Положение 719-П, 757-П)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Под Указ №250 напрямую не подпадает (частная компания, не госкорпорация), но как значимый объект КИИ и системный банк - фактически выполняет аналогичные требования (заместитель по ИБ, отдельная служба)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Выделенная служба ИБ - обязательна по требованиям ЦБ; публичных инцидентов со сливами данных не зафиксировано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Цена ошибки: оборотные штрафы по 152-ФЗ (до 18 млн ₽ за инцидент), репутационные потери, отзыв лицензии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cnv9uduenosg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1.7. Состояние ИТ-функции</w:t>
      </w:r>
    </w:p>
    <w:tbl>
      <w:tblPr>
        <w:tblStyle w:val="Table3"/>
        <w:tblW w:w="9025.511811023624" w:type="dxa"/>
        <w:jc w:val="left"/>
        <w:tblBorders>
          <w:top w:color="222222" w:space="0" w:sz="4" w:val="single"/>
          <w:left w:color="222222" w:space="0" w:sz="4" w:val="single"/>
          <w:bottom w:color="222222" w:space="0" w:sz="4" w:val="single"/>
          <w:right w:color="222222" w:space="0" w:sz="4" w:val="single"/>
          <w:insideH w:color="222222" w:space="0" w:sz="4" w:val="single"/>
          <w:insideV w:color="222222" w:space="0" w:sz="4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Состояние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Что делает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Чем измеряется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Признаки у МТС Банка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Служба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Исполняет заявки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Очередь, «когда готово»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Не подходит: есть каталог продуктовых команд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Поставщик услуг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Держит обязательства по каталогу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SLA, стоимость услуги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Подходит: 100+ продуктовых команд с владельцами, собственные SLA на цифровые каналы, отчетность по МСФО и опер. показателям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Партнер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Приносит цифры на решения спонсора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Доля инициатив с посчитанным эффектом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Частично: ИТ участвует в стратегии экосистемы МТС, но банк не аккредитован как ИТ-компания - ограничение для полного партнерства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Диагноз: МТС Банк находится в состоянии «Поставщик услуг» с элементами перехода к «Партнеру».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Признак поставщика: продуктовые команды с владельцами, собственные SLA, отчетность по цифровым продажам (&gt;85% кредитов - цифрово).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Признак движения к партнеру: ИТ участвует в формировании стратегии экосистемы МТС (единый клиентский ID, кросс-продажи), есть стратегия роста акционерной стоимости 2025–2028, где ИТ - драйвер комиссионного дохода.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Ограничение: отсутствие ИТ-аккредитации ограничивает участие в госпрограммах и снижает вес ИТ-функции как самостоятельного партнера.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hqklktv7q5lm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1.8. Зоны по блокам ИТ-функции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56.6070828824127"/>
        <w:gridCol w:w="2756.6070828824127"/>
        <w:gridCol w:w="3512.297645258798"/>
        <w:tblGridChange w:id="0">
          <w:tblGrid>
            <w:gridCol w:w="2756.6070828824127"/>
            <w:gridCol w:w="2756.6070828824127"/>
            <w:gridCol w:w="3512.297645258798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Зона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Обоснование (признак в одну строку)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Продуктовая разработка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&gt;100 продуктовых команд, собственный стек, &gt;85% кредитов в цифре - предсказуемый релизный поток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АБС и процессинг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Собственная команда АБС, но используется ЦФТ - зависимость от вендора и ручные стыки на интеграциях (признак сползания)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Антифрод и риск-аналитика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Открыты вакансии ведущих аналитиков - признак дефицита кадров и частичных измерений; удерживает от 🔴 регулярная отчетность по fraud-loss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Цифровые каналы (моб./веб)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4,5 млн карт, 108 млрд ₽ оборота, &gt;90% вне телекома - обязательства выполняются, есть измерение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Интеграция с экосистемой МТС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Потенциал 80 млн клиентов, но доля конверсии не раскрыта публично - удерживает от 🔴 только рост комиссионного дохода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ИТ-аккредитация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Банк не входит в число аккредитованных ИТ-компаний - потеря льгот, ограничение участия в госпрограммах, риск для стратегии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Связь и инфраструктура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Предположительно на решениях МТС, но публичных SLA нет - удерживает от 🔴 отсутствие инцидентов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Информационная безопасность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Подпадает под жесткое регулирование ЦБ и 187-ФЗ, публичных инцидентов нет - обязательства выполняются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Бюджет и стоимость 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Доля ИТ-расходов в выручке не раскрыта - частичные измерения, удерживает от 🔴 рост чистой прибыли (+16,7%)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8qu4l7km41j3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1.9. Источники</w:t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5.641598434428"/>
        <w:gridCol w:w="2045.641598434428"/>
        <w:gridCol w:w="4934.2286141547675"/>
        <w:tblGridChange w:id="0">
          <w:tblGrid>
            <w:gridCol w:w="2045.641598434428"/>
            <w:gridCol w:w="2045.641598434428"/>
            <w:gridCol w:w="4934.22861415476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Ссылка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МТС Банк, пресс-релиз по МСФО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https://www.mtsbank.ru/o-banke/novosti/detail/1151329/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ТАСС, прибыль МТС Банка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https://tass.ru/ekonomika/26639765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Ведомости, прибыль МТС Банка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https://www.vedomosti.ru/investments/news/2026/07/03/1210924-pribil-mts-banka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Банковское обозрение, прибыль МТС Банка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https://bosfera.ru/press-release/chistaya-pribyl-mts-banka-po-msfo-za-2025-god-prevysila-14-mlrd-rubley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МТС Банк, Стратегия 2025–2028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https://www.mtsbank.ru/upload/static/o-banke/raskritie-informacii/TSR-MBNK.pdf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МТС Банк, «О банке»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https://www.mtsbank.ru/o-banke/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МТС Банк, карьерный сайт 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https://job.mtsbank.ru/it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Хабр Карьера, вакансии МТС Банка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https://career.habr.com/vacancies/1000081406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Википедия, МТС Банк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https://ru.wikipedia.org/wiki/МТС_Банк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Т-Инвестиции (допущение)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https://www.tbank.ru/invest/social/profile/Million_dochkam/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34"/>
          <w:szCs w:val="34"/>
        </w:rPr>
      </w:pPr>
      <w:bookmarkStart w:colFirst="0" w:colLast="0" w:name="_2wxmtl615ure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34"/>
          <w:szCs w:val="34"/>
          <w:rtl w:val="0"/>
        </w:rPr>
        <w:t xml:space="preserve">2. Реестр допущений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Цифра / факт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Источник оценки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Уверенность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≈4 млн активных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Вторичный источник (Т-Инвестиции)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Средняя - нет прямой публикации банка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Доля цифровых продаж кредитов &gt;85%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Вторичный источник (Т-Инвестиции)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Средняя - подтверждается косвенно вакансиями цифровых ролей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Корпоративная связь на базе решений МТС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Логическое допущение (материнская компания - телеком)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Высокая - но нет прямого подтверждения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Доля ИТ-расходов в выручке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Не раскрыта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Низкая - будет оценена в ПР4 через отраслевой бенчмарк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Конкретные вендоры инфраструктуры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Не раскрыты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Низкая - только общие упоминания ЦФТ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Доля конверсии клиентов экосистемы МТС в банковские продукты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Не раскрыта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Низкая - ключевое допущение для ПР2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Arial" w:cs="Arial" w:eastAsia="Arial" w:hAnsi="Arial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34"/>
          <w:szCs w:val="34"/>
        </w:rPr>
      </w:pPr>
      <w:bookmarkStart w:colFirst="0" w:colLast="0" w:name="_fv028c4d24er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34"/>
          <w:szCs w:val="34"/>
          <w:rtl w:val="0"/>
        </w:rPr>
        <w:t xml:space="preserve">3. Отработка «черных лебедей» (сценарии)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r72psnhjoyr7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🦢 Сценарий 38 - Продажа направления бизнеса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Адаптация к МТС Банку: Допустим, собственники продают стратегическому покупателю (например, другому банку или финтех-игроку) направление BNPL «Флекс» + POS-кредитование в ритейле, дающее ≈20% выручки (≈13–14 млрд ₽ из комиссионных и процентных доходов).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Условия сделки: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12 месяцев банк обязан за оговоренную плату обеспечивать проданному бизнесу работу общих систем, данных и сервисов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Затем - полное разделение без нарушения работы ни одной из сторон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Постоянные ИТ-расходы после продажи ложатся на меньшую выручку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Часть сотрудников, обслуживающих общие системы, может перейти к покупателю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Диагноз ИТ-функции под сценарий: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656.11686919985"/>
        <w:gridCol w:w="3369.394941823773"/>
        <w:tblGridChange w:id="0">
          <w:tblGrid>
            <w:gridCol w:w="5656.11686919985"/>
            <w:gridCol w:w="3369.39494182377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Проблема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Цена для бизнеса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Общие системы (АБС, процессинг, антифрод, клиентский ID экосистемы) используются и банком, и проданным бизнесом - разделение требует дублирования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Рост ИТ-расходов на 15–25% при падении выручки на 20% - маржа под давлением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12 месяцев переходного периода - клиенты и партнеры ритейла не должны заметить изменений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Риск оттока клиентов при сбое миграции: потеря ≈2–3 млрд ₽ комиссионного дохода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Часть ИТ-сотрудников уходит к покупателю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Дефицит кадров в продуктовых командах - замедление релизного потока на 30–40%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Клиентский ID экосистемы МТС - общий актив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Юридический и репутационный риск: кто владеет данными клиентов проданного бизнеса?</w:t>
            </w:r>
          </w:p>
        </w:tc>
      </w:tr>
    </w:tbl>
    <w:p w:rsidR="00000000" w:rsidDel="00000000" w:rsidP="00000000" w:rsidRDefault="00000000" w:rsidRPr="00000000" w14:paraId="000000D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Что должна сделать ИТ-функция: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В первые 30 дней: провести инвентаризацию общих систем и данных, выделить контур проданного бизнеса (какие микросервисы, какие данные, какие интеграции).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В течение 12 месяцев: построить параллельный контур для проданного бизнеса (или договориться о долгосрочном SLA с покупателем), подготовить миграцию клиентов и партнеров.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После разделения: пересчитать стоимость ИТ-услуг на оставшуюся выручку, оптимизировать инфраструктуру (возможно, отказ от части мощностей).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Зона ИТ-функции после сценария: 🔴 в блоке «Архитектура и общие системы» - признак: общие системы не готовы к быстрому разделению, цена - риск потери 2–3 млрд ₽ комиссионного дохода.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26"/>
          <w:szCs w:val="26"/>
        </w:rPr>
      </w:pPr>
      <w:bookmarkStart w:colFirst="0" w:colLast="0" w:name="_ywk2rppri75z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6"/>
          <w:szCs w:val="26"/>
          <w:rtl w:val="0"/>
        </w:rPr>
        <w:t xml:space="preserve">🦢 Сценарий 65 - Выход крупной экосистемы-конкурента</w:t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Адаптация к МТС Банку: На рынок выходит экосистема Сбера или Т-Банка с бюджетом в десятки раз превышающим бюджет МТС Банка, и предлагает: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Бесплатное или сильно удешевленное обслуживание (РКО, переводы, эквайринг)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Кэшбэк и бонусы, покрывающие стоимость продуктов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Интеграцию с собственными сервисами (маркетплейс, стриминг, такси)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Уже в первом квартале: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Часть клиентов МТС Банка уходит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Оставшиеся требуют скидок и повышенного кэшбэка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Правление обсуждает три несовместимых ответа: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Уход в нишу с более глубокой специализацией (например, POS-кредитование в регионах)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Партнерство с экосистемой-конкурентом (white-label)</w:t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Конкуренция за счет скорости и качества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Диагноз ИТ-функции под сценарий:</w:t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56.6070828824127"/>
        <w:gridCol w:w="3027.515020338098"/>
        <w:gridCol w:w="3241.389707803113"/>
        <w:tblGridChange w:id="0">
          <w:tblGrid>
            <w:gridCol w:w="2756.6070828824127"/>
            <w:gridCol w:w="3027.515020338098"/>
            <w:gridCol w:w="3241.389707803113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Ответ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Что должна поддержать ИТ-функция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Готовность ИТ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Уход в нишу(регионы, специфические продукты)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Быстрый запуск новых продуктовых линеек, локализация, интеграция с региональными партнерами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 - 100+ команд позволяют, но архитектура АБС (ЦФТ) может тормозить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Партнерство с экосистемой (white-label)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Открытые API, возможность быстро интегрировать продукты конкурента, совместимые форматы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🔴 - открытых API для внешних экосистем не раскрыто, архитектура заточена под внутреннюю экосистему МТС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Конкуренция за счет скорости и качества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Сокращение time-to-market, улучшение UX, персонализация, предиктивная аналитика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🟡 - DevOps-практики есть, но дефицит аналитиков (вакансии) ограничивает скорость</w:t>
            </w:r>
          </w:p>
        </w:tc>
      </w:tr>
    </w:tbl>
    <w:p w:rsidR="00000000" w:rsidDel="00000000" w:rsidP="00000000" w:rsidRDefault="00000000" w:rsidRPr="00000000" w14:paraId="000000F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Что должна сделать ИТ-функция: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В течение 30 дней: провести аудит архитектуры на возможность быстрого запуска продуктов (time-to-market) и интеграции с внешними экосистемами.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В течение квартала:</w:t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Если выбран уход в нишу - выделить 2–3 продуктовые команды под новые линейки, ускорить релизный цикл.</w:t>
      </w:r>
    </w:p>
    <w:p w:rsidR="00000000" w:rsidDel="00000000" w:rsidP="00000000" w:rsidRDefault="00000000" w:rsidRPr="00000000" w14:paraId="00000103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Если выбрано партнерство - построить слой открытых API, обеспечить совместимость данных.</w:t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Если выбрана конкуренция - усилить аналитику (нанять аналитиков, которых не хватает), внедрить предиктивные модели.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Постоянно: пересчитывать стоимость ИТ-услуг на клиента (CAC, LTV) - если конкурент дает бесплатный продукт, банк должен понимать, сколько он готов тратить на удержание.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Зона ИТ-функции после сценария: 🔴 в блоке «Архитектурная гибкость» - признак: ИТ-функция заточена под внутреннюю экосистему МТС, не готова к быстрому партнерству с внешними игроками, цена - потеря 10–15% клиентской базы в первом квартале.</w:t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rPr>
          <w:rFonts w:ascii="Arial" w:cs="Arial" w:eastAsia="Arial" w:hAnsi="Arial"/>
          <w:b w:val="0"/>
          <w:bCs w:val="0"/>
          <w:color w:val="222222"/>
          <w:sz w:val="34"/>
          <w:szCs w:val="34"/>
        </w:rPr>
      </w:pPr>
      <w:bookmarkStart w:colFirst="0" w:colLast="0" w:name="_3owkdqswd9wi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34"/>
          <w:szCs w:val="34"/>
          <w:rtl w:val="0"/>
        </w:rPr>
        <w:t xml:space="preserve">4. Итоговый диагноз ИТ-функции МТС Банка</w:t>
      </w:r>
    </w:p>
    <w:tbl>
      <w:tblPr>
        <w:tblStyle w:val="Table9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15.9208447518567"/>
        <w:gridCol w:w="6209.590966271767"/>
        <w:tblGridChange w:id="0">
          <w:tblGrid>
            <w:gridCol w:w="2815.9208447518567"/>
            <w:gridCol w:w="6209.5909662717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Поставщик услуг с элементами перехода к партнеру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Ключевой признак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100+ продуктовых команд с владельцами, собственные SLA, отчетность по цифровым продажам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Сильные стороны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Собственная разработка, сильный цифровой канал, интеграция с экосистемой МТС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Слабые стороны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Отсутствие ИТ-аккредитации, зависимость от ЦФТ (АБС), дефицит аналитиков, архитектура заточена под внутреннюю экосистему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Ключевые риски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🔴 ИТ-аккредитация, 🔴 архитектурная гибкость под внешние партнерства, 🟡 дефицит кадров в аналитике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Готовность к черным лебедям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Низкая - ИТ-функция не готова ни к быстрому разделению бизнеса (сценарий 38), ни к конкуренции с внешней экосистемой (сценарий 65)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ass.ru/ekonomika/26639765" TargetMode="External"/><Relationship Id="rId10" Type="http://schemas.openxmlformats.org/officeDocument/2006/relationships/hyperlink" Target="https://www.mtsbank.ru/o-banke/novosti/detail/1151329/" TargetMode="External"/><Relationship Id="rId13" Type="http://schemas.openxmlformats.org/officeDocument/2006/relationships/hyperlink" Target="https://career.habr.com/vacancies/1000081406" TargetMode="External"/><Relationship Id="rId12" Type="http://schemas.openxmlformats.org/officeDocument/2006/relationships/hyperlink" Target="https://job.mtsbank.ru/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edomosti.ru/investments/news/2026/07/03/1210924-pribil-mts-bank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tsbank.ru/o-banke/" TargetMode="External"/><Relationship Id="rId7" Type="http://schemas.openxmlformats.org/officeDocument/2006/relationships/hyperlink" Target="https://www.mtsbank.ru/o-banke/novosti/detail/1151329/" TargetMode="External"/><Relationship Id="rId8" Type="http://schemas.openxmlformats.org/officeDocument/2006/relationships/hyperlink" Target="https://tass.ru/ekonomika/266397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