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Практическая работа №2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 Гипотезы роста выручки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Бизнес: ПАО «МТС-Банк»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краткая версия паспорта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9038"/>
        <w:tblGridChange w:id="0">
          <w:tblGrid>
            <w:gridCol w:w="600"/>
            <w:gridCol w:w="9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ПАО «МТС-Банк», цифровой розничный банк экосистемы МТС; отрасль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банки / финтех, РФ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Операционный доход до резервов 67,0 млрд ₽ за 2025 год (МСФО); 1% базы = 670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Чистые процентные доходы ≈ 69%, комиссионные и прочие непроцентные ≈ 31% (≈ 21 млрд 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100+ продуктовых команд, собственная разработка (Java/Kotlin/Go, React), АБС на базе ЦФТ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Только открытые данные; NDA нет; нормировка не применяется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 Точки приложения гипотез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Точки взяты из ПР1 по тр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 источникам методички: красные и ж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лтые зоны, шаги пути от заказа до денег, разрыв с отраслевым коридором. Сценарии-«лебеди» 38 и 65 добавляют ограничения и долги, которые надо закрыть в этой работе (раздел 2), но сами по себе источником гипотез не считаются.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1.1. Зоны и шаги пути из ПР1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5138"/>
        <w:gridCol w:w="1200"/>
        <w:tblGridChange w:id="0">
          <w:tblGrid>
            <w:gridCol w:w="3300"/>
            <w:gridCol w:w="5138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Место в ПР1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§1.4 шаг 2 «Скоринг и одобрение» + §1.8 🟡 «Антифрод и риск-аналитика»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Открыты вакансии ведущих аналитиков антифрода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дефицит кадров и частичные измерения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§1.4 шаг 5 «Взыскание и работа с проблемной задолженностью»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Шаг пути, на котором резервы превращаются в списания; в ПР1 зоной не оцен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н, но стоимость риска (6,1%) складывается именно здесь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§1.2 и §1.8 🟡 «Интеграция с экосистемой МТС»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Стратегия строит рост комиссионной доли до &gt;50% через сервисы экосистемы, но конверсия клиентов экосистемы не раскрыта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№2, №4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§3 сценарий 38, 🔴 «Архитектура и общие системы» + §1.8 🟡 «Бюджет и стоимость ИТ»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Общие системы обслуживают и банк, и проданное направление; доля ИТ-расходов не раскрыта, себестоимость услуг не посчитана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§1.8 🔴 «ИТ-аккредитация», §3 🔴 «Архитектурная гибкость», §1.8 🟡 «АБС и процессинг»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Красные/ж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лтые зоны, под которые гипотез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 бер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 (раздел 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1.2. Разрыв с отраслевым коридором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База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67,0 млрд ₽ операционного дохода (2025). Показатели банка и сектора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из страницы «Отраслевые коридоры» и пресс-релиза МСФО 2025.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900"/>
        <w:gridCol w:w="1900"/>
        <w:gridCol w:w="4938"/>
        <w:tblGridChange w:id="0">
          <w:tblGrid>
            <w:gridCol w:w="1900"/>
            <w:gridCol w:w="900"/>
            <w:gridCol w:w="1900"/>
            <w:gridCol w:w="49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Банк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Ориентир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Что это да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т гипотезам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Стоимость риска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2,9% (розница, сектор)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Самая крупная статья, на которую влияет ИТ. Но разрыв 3,2 п.п. нельзя брать как цель: он отчасти объясняется структурой портфеля (необеспеченные кредиты, карты). Корректная мера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1–5% самой статьи (≈ 18–23 млрд ₽, 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т, реестр №13). → №1, №5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Доля комиссионного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≈ 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цель стратегии &gt;50%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Точка для №2 и №4. После продажи «Флекса» и POS-кредитования числитель и знаменатель изменятся, поэтому цель считается заново, а не бер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тся из стратегии 2025–2028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35,7%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цель ≈ 32%, сектор ≈ 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Банк уже лучше сектора; улучшение здесь дорогое. Точечно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№3 (расходы на обслуживание проданного направления)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сектор 18%, цель ≥25%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Следствие, а не точка приложения: отдельной гипотезы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Лебеди 38 и 65: ограничения и один ответ правлению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2.1. Исходы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900"/>
        <w:gridCol w:w="5638"/>
        <w:tblGridChange w:id="0">
          <w:tblGrid>
            <w:gridCol w:w="3100"/>
            <w:gridCol w:w="900"/>
            <w:gridCol w:w="5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Лебедь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Бросок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Исход и долг к ПР2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№38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продажа «Флекса» и POS-кредитования (≈ 20% выручки)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Нейтральный «Инвентаризация успела, цена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нет». Долг: показать себестоимость услуг переходного периода и сравнить с оговор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нной платой. Если долг просрочен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эффект «Нервная неделя»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№65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выход экосистемы-конкурента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Плохой «Аудит вместо ответа». Долг: один рекомендованный ответ с ценой, сроком и без противоречия условиям продажи. Эффект «Потолок доверия»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Оба долга закрываются в этой работе: долг 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гипотезой №3, долг 2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рекомендацией из п. 2.3. Формулировка «долг 3» из прошлой версии снята: требование повышенного кэшбэка в таблице исходов описано как событие, а не как отдельный долг.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2.2. Ключевое противоречие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4400"/>
        <w:gridCol w:w="4738"/>
        <w:tblGridChange w:id="0">
          <w:tblGrid>
            <w:gridCol w:w="500"/>
            <w:gridCol w:w="4400"/>
            <w:gridCol w:w="4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Цена для бизнеса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Правление выбрало нишей POS-кредитование в регионах, но это направление банк обязан отделить и передать за 12 месяцев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Срыв условий сделки: удержание части платы, штрафы, вопросы покупателя и ЦБ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Те же команды АБС, процессинга и антифрода 12 месяцев обслуживают покупателя за плату, не покрывающую их затраты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Банк доплачивает из маржи каждый месяц; размер доплаты неизвестен (реестр №11)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Экосистема бь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 по комиссионным продуктам (бесплатное РКО и переводы), на которых стратегия строит рост доли до &gt;50%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Под ударом комиссионный доход остающихся направлений. Это не весь 21 млрд ₽: часть комиссий относится к проданному направлению. Оценка остающейся части ≈ 15 млрд ₽ (допущение, реестр №17)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Прошлая версия переводила аналитиков из команд проданного направления на новые продукты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Эти люди заняты обслуживанием покупателя по сделке; перевод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риск второго срыва по переходному соглашению. Снято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2.3. Единая рекомендация правлению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Не уходить в нишу POS (она прода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sz w:val="21"/>
          <w:szCs w:val="21"/>
          <w:rtl w:val="0"/>
        </w:rPr>
        <w:t xml:space="preserve">тся) и не строить слой открытых API под white-label (нет времени и денег за квартал). Конкурировать скоростью и качеством на комиссионных продуктах, которые остаются у банка, и параллельно закрыть долг по себестоимости переходного периода.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338"/>
        <w:tblGridChange w:id="0">
          <w:tblGrid>
            <w:gridCol w:w="2300"/>
            <w:gridCol w:w="7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26 чел.-мес. на четыре гипотезы в работе (№1: 12, №2: 6, №3: 2, №5: 6) ≈ 10 млн ₽ ФОТ при ставке 0,4 млн ₽ за чел.-мес. (допущение, реестр №22). Лицензии и инфраструктура не оценены. Найм не нужен: бюджет падает вслед за выручкой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Ожидаемая отдача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0,76–2,1 млрд ₽ за первые 12 месяцев после запуска (1,1–3,2% операционного дохода; 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 в разделе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Месяц 1: №3 (расч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 себестоимости). Месяцы 1–3: №2 (пилот workflow). Месяцы 1–6: №1. Месяцы 4–9: №5. №4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в резерве, не раньше конца переходного периода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Пиковая нагрузка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≈ 6 FTE в первый месяц (№3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2, №2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2, №1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2). Подтверждается в ПР3; если свободной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мкости нет, №1 стартует раньше №2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Проверка на противоречие со сделкой: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338"/>
        <w:tblGridChange w:id="0">
          <w:tblGrid>
            <w:gridCol w:w="3300"/>
            <w:gridCol w:w="6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Условие сделки / 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Как соблюдается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«Флекс» и POS-кредитование продаются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 одна гипотеза не развивает это направление; из пилота №1 убраны антифрод-правила для POS-транзакций; «BNPL вне ритейла» убран из списка продуктов до заключения юристов, что оно не пересекается с проданным «Флексом»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 месяцев обслуживания покупателя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Люди из команд АБС, процессинга и антифрода, обслуживающих покупателя, в гипотезах не используются; №4 стартует только после переходного периода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Данные клиентов проданного направления (152-ФЗ, ЦБ)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Модели №1, №4, №5 строятся только на данных остающихся клиентов, с согласия на использование данных экосистемы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Бюджет падает вслед за выручкой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Нет найма; все гипотезы на внутренней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мкости, самая дорогая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№1 (12 чел.-мес.)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Карточки гипотез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Гипотеза №1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Снижение стоимости риска через скоринг на данных экосистемы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338"/>
        <w:tblGridChange w:id="0">
          <w:tblGrid>
            <w:gridCol w:w="2300"/>
            <w:gridCol w:w="7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Формулировка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Если за 6 месяцев запустить на кредитах наличными скоринг-модель с поведенческими данными экосистемы МТС (с согласия клиентов), то стоимость риска на пилотном сегменте снизится не менее чем на 3% относительно контрольной группы (≈ с 6,1% до ≈ 5,9%), потому что нынешние правила не видят поведенческих признаков, по которым часть будущих просрочек отличима при выдаче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Строка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Операционные расходы: резервы под кредитные убытки (статья «стоимость риска» ≈ 18–23 млрд ₽, реестр №13)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Показатель и текущее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Доля кредитов с просрочкой 30+ дней на 3-м месяце жизни (винтаж)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текущее значение нужно выгрузить; стоимость риска банка 6,1% (2025). Винтаж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опережающий показатель: сама стоимость риска считается за год и за 6 месяцев не проверяется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Винтажная просрочка в пилоте ниже контроля не менее чем на 3% относительно, при той же доле одобрений (±2 п.п.)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Срок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 месяцев после запуска пилота (3–4 месяца жизни первых винтажей)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Опровергающее наблюдение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Разница с контролем менее 2% относительно или она исчезает после поправки на структуру портфеля; либо просрочка ниже, но потому что упала доля одобрений. Тогда модель не добавила различающей силы, а узкое место не в данных скоринга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Риск или неопредел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Риск: частоты просрочек известны по истории, считаются. Неопредел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нность: как поведут себя клиенты и сама модель на новых признаках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нужен пилот с контрольной группой. Отдельная угроза: продажа «Флекса» и POS сама меняет структуру портфеля и может «улучшить» стоимость риска без всякой модели, поэтому эффект сравнивается только с контролем, а не с прошлым годом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Что нужно для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Выгрузка кредитов наличными за 2 года с просрочками по месяцам, признаки экосистемы с согласиями, сегмент пилота (2–3 региона) и контрольный сегмент той же структуры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Допущения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Статья ≈ 18–23 млрд ₽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 (средняя уверенность). Эффект 2–5% статьи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диапазон коридора курса, не измерение (средняя). Трудозатраты 12 чел.-мес.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оценка автора (низкая)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Связь с ПР1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§1.4 шаг 2, §1.8 🟡 «Антифрод и риск-аналитика»; разрыв с коридором по стоимости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Эффект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2–5% статьи ≈ 0,36–1,15 млрд ₽ ≈ 0,5–1,7% операционного дохода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Гипотеза №2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Цифровой workflow согласования новых комиссионных продуктов (ИТизация)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338"/>
        <w:tblGridChange w:id="0">
          <w:tblGrid>
            <w:gridCol w:w="2300"/>
            <w:gridCol w:w="7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Формулировка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Если перевести согласование нового комиссионного продукта (юристы, риск, комплаенс, ИБ) в единый цифровой workflow с сроком на каждый шаг, то срок от заявки до решения о запуске сократится с ≈ 6 до ≈ 3 недель, потому что согласующие сейчас получают документы по почте и ждут друг друга последовательно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Строка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Выручка: комиссионный доход остающихся направлений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Показатель и текущее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Срок от заявки до решения о запуске, ≈ 6 недель. Это оценка по вакансиям и релизным циклам, не замер (реестр №12)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≤ 3 недель медианы на тр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х новых продуктах за 3 месяца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Срок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месяца после запуска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Опровергающее наблюдение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Замер по трекеру показывает, что исходный срок уже ≤ 3 недель, либо согласование занимает менее 30% пути до запуска, либо решение приходит быстрее, а дата запуска не сдвигается. Тогда узкое место не в согласовании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Риск или неопредел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Риск: частота согласований известна по трекеру. Неопредел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нность: уложатся ли регуляторные шаги в 3 недели и не вырастет ли доля возвратов на доработку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нужен пилот на 3 продуктах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Что нужно для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Выгрузка заявок на согласование за 12 месяцев с датами шагов, список продуктов в бэклоге, контроль: продукты, согласуемые по старому порядку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Допущения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Исходные 6 недель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оценка (низкая). Число запусков N = 3–5 в год и выручка продукта на плато R = 1,0–1,5 млрд ₽/год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допущения (низкая, реестр №18)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Связь с ПР1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§1.8 🟡 «Интеграция с экосистемой МТС»; разрыв по доле комиссионного дохода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Почему это ИТизация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Автоматизация ручного труда с цифрой бизнеса: срок запуска продукта и комиссионная выручка, а не «внедрение системы»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Эффект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N × R × ΔT / 52 = (3…5) × (1,0…1,5) × 3 / 52 ≈ 0,17–0,43 млрд ₽ ≈ 0,26–0,65% операционного дохода. Эффект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выручка за 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 более раннего выхода на плато; вычитается рост рынка (контроль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продукты на старом порядке)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Гипотеза №3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Расч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т себестоимости услуг переходного периода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338"/>
        <w:tblGridChange w:id="0">
          <w:tblGrid>
            <w:gridCol w:w="2300"/>
            <w:gridCol w:w="7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Формулировка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Если за 30 дней посчитать себестоимость обслуживания проданного направления по каждой общей системе (АБС на ЦФТ, процессинг, антифрод, клиентский ID) и сравнить с платой по сделке, то выявится разрыв не менее 5% стоимости обслуживания, потому что плату юристы зафиксировали без 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та затрат занятых команд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Строка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Операционные расходы: ИТ-обслуживание проданного направления за 12 месяцев (≈ 1,0 млрд ₽, 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т: 23,9 млрд ₽ расходов × 20% доли ИТ × 20% доли направления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допущения, реестр №14–16)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Показатель и текущее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Разрыв между себестоимостью и платой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сейчас неизвестен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Два порога. 1) Разрыв подтвержд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н: ≥ 5% статьи (≈ 50 млн ₽ за 12 месяцев). 2) Разрыв возмещ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 пересмотром платы или оформлен в бюджете как известная доплата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Срок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30 дней на 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т; решение по цене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к концу второго месяца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Опровергающее наблюдение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Плата покрывает себестоимость (разрыв &lt; 2%). Тогда переходный период не убыточен, долг снят, а разговор с покупателем не нужен. Отказ покупателя пересматривать цену гипотезу не опровергает: он оставляет разрыв как известную доплату, и это второй порог, не первый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Риск или неопредел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Риск: срок и объ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м обслуживания известны, считаются без пилота. Неопредел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нность: допускает ли подписанный договор пересмотр платы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проверяют юристы сделки. Если нет, денежный эффект равен нулю, но разрыв входит в бюджет и в цену следующих решений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Что нужно для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Занятость команд АБС, процессинга и антифрода, ставки ФОТ, инфраструктурные затраты контура, текст условий о плате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Допущения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Статья ≈ 1,0 млрд ₽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цепочка из тр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х допущений (низкая). Разрыв 5–15% статьи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допущение автора (низкая); именно его снимает сам 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Связь с ПР1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§3 сценарий 38, 🔴 «Архитектура и общие системы»; 🟡 «Бюджет и стоимость ИТ»; долг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Эффект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5–15% статьи ≈ 50–150 млн ₽ ≈ 0,07–0,22% операционного дохода. Как процент статьи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выше коридора (1–5%): объяснение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это разовая коррекция договора, а не эффективность, и она не повторяется. Как доля дохода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ниже коридора; гипотеза окупается за 2 чел.-мес. и да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 базу для №1, №2 и рекомендации правлению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Гипотеза №4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Персонализация предложений для удержания клиентов (резерв)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338"/>
        <w:tblGridChange w:id="0">
          <w:tblGrid>
            <w:gridCol w:w="2300"/>
            <w:gridCol w:w="7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Формулировка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Если после окончания переходного периода направить свободных аналитиков на персонализацию предложений клиентам остающихся комиссионных продуктов, то доля клиентов, остающихся активными через 12 месяцев, вырастет не менее чем на 1 п.п. относительно контроля, потому что вместо массовых скидок они получат предложения под свою модель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Строка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Выручка: комиссионный доход остающихся направлений (через удержание)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Показатель и текущее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Доля клиентов комиссионных продуктов, активных через 12 месяцев,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не раскрыта, нужен замер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+1 п.п. к контролю за 6 месяцев пилота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Срок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 месяцев; старт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не раньше конца переходного периода или подтвержд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нной свободной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мкости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Опровергающее наблюдение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Разница с контролем &lt; 0,5 п.п. или удержание выросло только за 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 скидок и кэшбэка: выручка на клиента упала на столько же. Тогда персонализация покупает удержание, а не созда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 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Риск или неопредел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Риск: частота оттока по истории известна. Неопредел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нность: реакция клиентов на предложения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пилот с контролем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Что нужно для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Данные об использовании продуктов, согласия клиентов, свободные аналитики после переходного периода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Допущения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Остающаяся комиссионная база ≈ 15 млрд ₽ (низкая, реестр №17); удержание +1–2 п.п. от не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допущение (низкая); 8 чел.-мес.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оценка (низкая)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Связь с ПР1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§1.4 шаг 4 «Монетизация»; сценарий 65: отток по комиссионным продуктам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Эффект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15 млрд ₽ × 1–2% ≈ 0,15–0,30 млрд ₽ ≈ 0,22–0,45% операционного дохода. Нижняя часть ниже коридора (0,3%); держится только потому, что пересекается с данными №1 и не требует новых систем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Гипотеза №5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Цифровое раннее взыскание вместо ручного обзвона (ИТизация)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338"/>
        <w:tblGridChange w:id="0">
          <w:tblGrid>
            <w:gridCol w:w="2300"/>
            <w:gridCol w:w="7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Формулировка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Если для просрочки 1–30 дней по кредитам наличными и картам остающегося портфеля запустить автоматический сценарий (push и чат в приложении, голосовой бот, реструктуризация в один клик) вместо ручного обзвона, то доля просрочек, переходящих из 1–30 дней в 90+, снизится не менее чем на 5% относительно, потому что клиенты на ранней стадии чаще не успевают, чем не хотят платить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Строка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Операционные расходы: резервы под кредитные убытки (та же статья, что в №1, но после не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: действует на уже возникшую просрочку)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Показатель и текущее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Переход (roll-rate) 1–30 → 90+ дней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не раскрыт, нужна выгрузка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Roll-rate в пилоте ниже контроля не менее чем на 5% относительно за 3 месяца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Срок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3–4 месяца после запуска пилота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Опровергающее наблюдение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Roll-rate не отличается от контроля, либо снизился, но возвраты по уже просроченным кредитам не выросли: бот лишь сдвинул плат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ж во времени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Риск или неопредел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Риск: динамика просрочек известна по истории. Неопредел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нность: реакция клиентов на бота и ограничения 230-ФЗ на частоту контактов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нужен пилот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Что нужно для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История просрочек по дням, текущая схема взыскания и е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стоимость, контрольная группа на ручном обзвоне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Допущения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Эффект 1–3% статьи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допущение автора (низкая); 6 чел.-мес.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оценка (низкая)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Связь с ПР1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§1.4 шаг 5 «Взыскание и работа с проблемной задолженностью»; разрыв по стоимости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Почему это ИТизация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Агент на месте повторяющейся работы с цифрой бизнеса: переходы просрочки и резервы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Эффект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1–3% статьи ≈ 0,18–0,69 млрд ₽ ≈ 0,27–1,03% операционного дохода до уч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та пересечения с №1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 Привязка к P&amp;L и проверка по коридору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100"/>
        <w:gridCol w:w="1900"/>
        <w:gridCol w:w="1100"/>
        <w:gridCol w:w="1100"/>
        <w:gridCol w:w="2938"/>
        <w:tblGridChange w:id="0">
          <w:tblGrid>
            <w:gridCol w:w="1500"/>
            <w:gridCol w:w="1100"/>
            <w:gridCol w:w="1900"/>
            <w:gridCol w:w="1100"/>
            <w:gridCol w:w="1100"/>
            <w:gridCol w:w="29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Строка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Механика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Эффект,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% оп.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Источник оценки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№1 Скоринг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Резервы (СР)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Меньше просрочек при выдаче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0,36–1,15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0,5–1,7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2–5% статьи по коридору; статья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№2 Workflow (ИТ)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Выручка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Раньше запуск → раньше плато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0,17–0,43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0,26–0,65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Формула N·R·ΔT/52, допущения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№3 Себестоимость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Опер. расходы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Пересмотр платы / бюджет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0,05–0,15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0,07–0,22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5–15% статьи ≈ 1,0 млрд, допущения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№4 Персонализация (резерв)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Выручка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Выше удержание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0,15–0,30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0,22–0,45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База 15 млрд × 1–2%, допущения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№5 Взыскание (ИТ)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Резервы (СР)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Ниже переход в 90+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0,18–0,69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0,27–1,03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1–3% статьи, допущение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4.1. Отдельно по улучшениям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700"/>
        <w:gridCol w:w="2500"/>
        <w:gridCol w:w="3038"/>
        <w:tblGridChange w:id="0">
          <w:tblGrid>
            <w:gridCol w:w="2400"/>
            <w:gridCol w:w="1700"/>
            <w:gridCol w:w="2500"/>
            <w:gridCol w:w="3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Строка коридора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Коридор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Гипотезы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Выручка, одно улучшение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0,3–1,5% оп.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№2: 0,26–0,65%; №4: 0,22–0,45%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 коридоре; нижняя кромка №2 и вся нижняя часть №4 у границы. Для №4 объяснение дано в карточке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Затраты, одно улучшение (% статьи)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1–5% статьи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№1: 2–5%; №5: 1–3%; №3: 5–15%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№1 и №5 в коридоре. №3 выше: объяснение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разовая коррекция договора (карточка №3)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4.2. Набор гипотез (не сумма)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Сложение «эффектов в % оп. дохода» из прошлой версии (3,1–4,7%) заменено расч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том с уч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том пересечений: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Одна статья.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 №1 и №5 действуют на статью резервов. №5 работает на остатке после №1, поэтому эффекты перемножаются: 1 − (1 − a)(1 − b). Нижняя граница: 1 − 0,98 × 0,99 = 2,98% статьи. Верхняя: 1 − 0,95 × 0,97 = 7,85% статьи. На статье 18–23 млрд ₽ это 0,54–1,81 млрд ₽ против простой суммы 0,54–1,84 млрд ₽.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Одно узкое место.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 №1 и №5 строятся одними и теми же аналитиками и данными, и они в дефиците (ПР1, §1.8). Допущение: 15% эффекта на верхней границе уходит на второй год. Верхняя граница по резервам: 1,81 × 0,85 = 1,54 млрд ₽.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Единицы.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 Все эффекты переведены в рубли и делятся на 67,0 млрд ₽. Проценты «от статьи» не складываются с процентами «от дохода».</w:t>
      </w:r>
    </w:p>
    <w:p w:rsidR="00000000" w:rsidDel="00000000" w:rsidP="00000000" w:rsidRDefault="00000000" w:rsidRPr="00000000" w14:paraId="0000013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1900"/>
        <w:gridCol w:w="1900"/>
        <w:gridCol w:w="1300"/>
        <w:gridCol w:w="1838"/>
        <w:tblGridChange w:id="0">
          <w:tblGrid>
            <w:gridCol w:w="2700"/>
            <w:gridCol w:w="1900"/>
            <w:gridCol w:w="1900"/>
            <w:gridCol w:w="1300"/>
            <w:gridCol w:w="1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Набор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Нижняя граница,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Верхняя граница,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% оп.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Коридор набора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Четыре в работе (№1, №2, №3, №5)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0,54 + 0,17 + 0,05 = 0,76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1,54 + 0,43 + 0,15 = 2,12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1,1–3,2%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1–4%: в коридоре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Пять вместе с №4 (резерв)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2,12 + 0,26 = 2,37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1,4–3,5%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1–4%: в коридоре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Верхняя граница набора ниже 4%, поэтому объяснения «данные экосистемы дают больше, чем в среднем по отрасли» не требуется. Прошлая версия опиралась на него при 4,7% и без подтверждения: доля конверсии клиентов экосистемы в ПР1 не раскрыта.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 Приоритизация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Формула: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Приоритет = Эффект × Уверенность / Трудозатраты, где Эффект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середина диапазона в млн ₽ за 12 месяцев, Уверенность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0,8 (есть замер или договор) / 0,6 (расч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 по коридору) / 0,4 (допущение автора), Трудозатраты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чел.-мес.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Охват (Reach) из RICE убран: он уже заложен в рубл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вый эффект, и вторая подстановка охвата считала бы его дважды. В прошлой версии значения RICE были завышены в 10 раз (например, 4,0 × 0,025 × 0,7 / 12 = 0,0058, а не 0,058). Порядок гипотез это не меняло, но проверяющий не смог бы повторить сч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т.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100"/>
        <w:gridCol w:w="2800"/>
        <w:gridCol w:w="1100"/>
        <w:gridCol w:w="2000"/>
        <w:gridCol w:w="838"/>
        <w:tblGridChange w:id="0">
          <w:tblGrid>
            <w:gridCol w:w="1800"/>
            <w:gridCol w:w="1100"/>
            <w:gridCol w:w="2800"/>
            <w:gridCol w:w="1100"/>
            <w:gridCol w:w="2000"/>
            <w:gridCol w:w="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Эффект,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Уверенность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Трудозатраты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Место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№3 Себестоимость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0,8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 по договору и ФОТ после замера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 × 0,8 / 2 = 40,0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№1 Скоринг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0,6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диапазон коридора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755 × 0,6 / 12 = 37,8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№5 Взыскание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0,4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допущение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435 × 0,4 / 6 = 29,0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№2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0,4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исходный срок не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из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мерен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303 × 0,4 / 6 = 20,2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№4 Персонализация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0,4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допущение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225 × 0,4 / 8 = 11,3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Чувствительность.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Сдвиг уверенности на один уровень (0,4 ↔ 0,6) не меняет состава четв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рки: №5 при 0,6 да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 43,5 (первое место), №2 при 0,6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30,3, №4 при 0,6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16,9 (вс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равно последний). №4 обгоняет №2 только при несимметричной оценке: 0,8 у №4 и 0,4 у №2 (22,5 против 20,2). №2 бер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тся в любом случае как обязательная гипотеза про ИТизацию.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6. Что бер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м в ПР3, что откладываем, что не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6.1. Бер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м в ПР3 (четыре гипотезы)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Почему бер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№3 Себестоимость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Первое место по приоритету, закрывает долг 1, 2 чел.-мес., да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 цифры для остальных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№1 Скоринг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Крупнейший эффект и главный разрыв с коридором; самая дорогая по трудозатратам, поэтому стартует с первого месяца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№5 Взыскание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Вторая точка на статье стоимости риска (шаг пути 5), ИТизация; зависит от №1 по аналитикам, поэтому ид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 позже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№2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Обязательная гипотеза про ИТизацию и ядро ответа правлению по долгу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6.2. Резерв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№4 Персонализация. Низкая уверенность (0,4), 8 чел.-мес., требует свободных аналитиков, которых до конца переходного периода нет. Становится пятым улучшением для ПР5, если к ПР4 №3 подтвердит свободную 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мкость, а пилоты №1 и №5 дадут данные об использовании. Если нет, пятое улучшение прид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тся искать в ПР3 среди процессов: для итоговой пят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рки в ПР5 нужно пять улучшений, а в работе четыре.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6.3. Что не делаем и почему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Что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Почему не делаем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Гипотеза про ИТ-аккредитацию (🔴 из ПР1)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Стратегическая задача без эффекта в выручке или расходах за 12 месяцев. Ид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 в дорожную карту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Миграция с ЦФТ (🟡 «АБС и процессинг»)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Дорого, рискованно для стабильности, не окупается за 12 месяцев. Заодно отсекает дублирующий контур: эффект от отключения мощностей после разделения наступает уже во второй год и не входит в окно эффекта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Открытые API и white-label (🔴 «Архитектурная гибкость»)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Правление выбрало ответ «скорость и качество»; слой API не окупается за квартал при падающем бюджете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Уход в нишу POS-кредитования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Направление прода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тся: прямое противоречие условиям сделки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Долгосрочный SLA для покупателя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Условие сделки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полное отделение через 12 месяцев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Найм аналитиков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Бюджет падает вслед за выручкой; вакансии висят весь квартал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7. Реестр допущений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Пункты 1–6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из ПР1. Пункты 7–10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оценки из сценариев ПР1: прежние пометки «отраслевой бенчмарк», «кейс Сбера 2023» и «внутренние метрики velocity» подтвердить источником не удалось, они заменены на «допущение автора». Пункты 11–23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новые.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3700"/>
        <w:gridCol w:w="2538"/>
        <w:tblGridChange w:id="0">
          <w:tblGrid>
            <w:gridCol w:w="500"/>
            <w:gridCol w:w="2900"/>
            <w:gridCol w:w="3700"/>
            <w:gridCol w:w="2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Цифра / 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Откуда 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Уверенность и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≈ 4 млн активных клиентов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Вторичный источник (Т-Инвестиции)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Средняя; нет прямой публикации банка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Доля цифровых продаж кредитов &gt;85%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Вторичный источник (Т-Инвестиции)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Средняя; косвенно подтверждается вакансиями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Корпоративная связь на базе решений МТС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Логическое допущение (материнская компания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телеком)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Высокая; прямого подтверждения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Доля ИТ-расходов в выручке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 раскрыта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оценка в ПР4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Конкретные вендоры инфраструктуры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 раскрыты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известен только ЦФТ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Конверсия клиентов экосистемы МТС в банковские продукты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 раскрыта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ключ к №2 и №4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Рост ИТ-расходов на 15–25% при разделении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Допущение автора, источника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проверяет №3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Потеря 1,3–2,0 млрд ₽ комиссионного дохода при сбое миграции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т: 13,4 млрд ₽ (20% выручки) × 10–15% оттока. Прежнее «2–3 млрд ₽» арифметике не соответствовало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Замедление релизов на 30–40% при уходе разработчиков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Допущение автора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Потеря 10–15% клиентов в 1-м квартале при выходе экосистемы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Допущение автора; ссылка на «кейс 2023» источником не подтверждена и снята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Себестоимость услуг переходного периода не посчитана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Исход сценария 38 (бросок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Высокая; снимается №3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Срок согласования нового комиссионного продукта ≈ 6 недель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Допущение автора (оценка по вакансиям и релизным циклам; прежняя пометка «бенчмарк» заменена)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замер по трекеру в первую неделю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Статья резервов ≈ 18–23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т: 6,1% × портфель 300–375 млрд ₽ (розничный 299,8 млрд на 30.09.2025; кредитный 374,2 млрд ₽ по данным investfuture.ru)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Средняя; уточнить по строке «резерв под ожидаемые кредитные убытки» МСФО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Операционные расходы ≈ 23,9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т: CIR 35,7% × 67,0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Доля ИТ в расходах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Допущение автора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ПР4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Доля проданного направления в ИТ-нагрузке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Допущение: равна доле в выручке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уточняется №3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Комиссионный доход остающихся направлений ≈ 15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spacing w:after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Допущение: 21 млрд ₽ минус ≈ 6 млрд ₽ из проданного направления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сегментная отч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тность МСФО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 = 3–5 запусков в год, R = 1,0–1,5 млрд ₽/год на плато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Допущения автора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бэклог и отч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ты по продуктам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Эффект №1: 2–5% статьи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Диапазон коридора курса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Средняя; измеряется пилотом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Эффект №5: 1–3% статьи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Допущение автора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roll-rate из выгрузки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Трудозатраты 12 / 6 / 2 / 8 / 6 чел.-мес.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Оценка автора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уточняется в ПР3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Ставка 0,4 млн ₽ за чел.-мес.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Допущение автора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Потеря 15% верхней границы по №1 и №5 из-за общего узкого места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Допущение автора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Низкая;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мкость команды в ПР3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8. Источники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4100"/>
        <w:gridCol w:w="5038"/>
        <w:tblGridChange w:id="0">
          <w:tblGrid>
            <w:gridCol w:w="500"/>
            <w:gridCol w:w="4100"/>
            <w:gridCol w:w="5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МТС Банк, пресс-релиз по МСФО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https://www.mtsbank.ru/o-banke/novosti/detail/1151329/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МТС Банк, пресс-релиз 4 кв. 2025 (PDF)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https://www.mtsbank.ru/upload/static/documents/press-reliz-4-kv-25.pdf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МТС Банк, стратегия 2025–2028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https://www.mtsbank.ru/upload/static/o-banke/raskritie-informacii/TSR-MBNK.pdf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ТАСС, прибыль МТС Банка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https://tass.ru/ekonomika/26639765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Ведомости, прибыль МТС Банка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https://www.vedomosti.ru/investments/news/2026/07/03/1210924-pribil-mts-banka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МТС Банк, МСФО 9 мес. 2025 (смарт-лаб, розничный портфель)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https://smart-lab.ru/blog/news/1229454.php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Финансовая отч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тность MBNK (кредитный портфель, резервы)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https://investfuture.ru/financials/mbnk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Интерфакс, эффект ИИ у ВТБ за 2025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https://www.interfax.ru/business/1057737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Интерфакс, CIR Сбера и ВТБ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https://www.interfax.ru/business/1074690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Банк России, обзор банковского сектора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https://cbr.ru/Collection/Collection/File/59730/analytical_review_bs-2025-4.pdf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Банк России, развитие банковского сектора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http://www.cbr.ru/Collection/Collection/File/59619/razv_bs_25_12.pdf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МТС Банк, карьерный сайт ИТ; Хабр Карьера (вакансии)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https://job.mtsbank.ru/it ; https://career.habr.com/vacancies/1000081406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Т-Инвестиции (допущение)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https://www.tbank.ru/invest/social/profile/Million_dochkam/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Курс: «Отраслевые коридоры целевых показателей»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материал курса, состояние на 05.10.2026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