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Паспорт проекта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Студент:</w:t>
      </w:r>
      <w:r w:rsidDel="00000000" w:rsidR="00000000" w:rsidRPr="00000000">
        <w:rPr>
          <w:rtl w:val="0"/>
        </w:rPr>
        <w:t xml:space="preserve"> Орехова Дарья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Сквозной бизнес:</w:t>
      </w:r>
      <w:r w:rsidDel="00000000" w:rsidR="00000000" w:rsidRPr="00000000">
        <w:rPr>
          <w:rtl w:val="0"/>
        </w:rPr>
        <w:t xml:space="preserve"> ПАО «МТС-Банк»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Полная версия паспорта</w:t>
      </w:r>
    </w:p>
    <w:tbl>
      <w:tblPr>
        <w:tblStyle w:val="Table1"/>
        <w:tblW w:w="9645.0" w:type="dxa"/>
        <w:jc w:val="left"/>
        <w:tblBorders>
          <w:top w:color="999999" w:space="0" w:sz="6" w:val="single"/>
          <w:left w:color="999999" w:space="0" w:sz="6" w:val="single"/>
          <w:bottom w:color="999999" w:space="0" w:sz="6" w:val="single"/>
          <w:right w:color="999999" w:space="0" w:sz="6" w:val="single"/>
          <w:insideH w:color="999999" w:space="0" w:sz="6" w:val="single"/>
          <w:insideV w:color="999999" w:space="0" w:sz="6" w:val="single"/>
        </w:tblBorders>
        <w:tblLayout w:type="fixed"/>
        <w:tblLook w:val="0600"/>
      </w:tblPr>
      <w:tblGrid>
        <w:gridCol w:w="3120"/>
        <w:gridCol w:w="6525"/>
        <w:tblGridChange w:id="0">
          <w:tblGrid>
            <w:gridCol w:w="3120"/>
            <w:gridCol w:w="65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Бизнес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ПАО «МТС-Банк» (MOEX: MBNK) 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vertAlign w:val="baseline"/>
                <w:rtl w:val="0"/>
              </w:rPr>
              <w:t xml:space="preserve"> универсальный коммерческий банк, основан в 1993 году, генеральная лицензия Банка России №2268, входит в число 30 ведущих банков России по активам </w:t>
            </w:r>
            <w:hyperlink r:id="rId6">
              <w:r w:rsidDel="00000000" w:rsidR="00000000" w:rsidRPr="00000000">
                <w:rPr>
                  <w:color w:val="0000ee"/>
                  <w:u w:val="single"/>
                  <w:vertAlign w:val="baseline"/>
                  <w:rtl w:val="0"/>
                </w:rPr>
                <w:t xml:space="preserve">[6]</w:t>
              </w:r>
            </w:hyperlink>
            <w:r w:rsidDel="00000000" w:rsidR="00000000" w:rsidRPr="00000000">
              <w:rPr>
                <w:vertAlign w:val="baseline"/>
                <w:rtl w:val="0"/>
              </w:rPr>
              <w:t xml:space="preserve">. С 2019 года основной акционер 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vertAlign w:val="baseline"/>
                <w:rtl w:val="0"/>
              </w:rPr>
              <w:t xml:space="preserve"> МТС; банк является основой финтех-направления экосистемы МТС </w:t>
            </w:r>
            <w:hyperlink r:id="rId7">
              <w:r w:rsidDel="00000000" w:rsidR="00000000" w:rsidRPr="00000000">
                <w:rPr>
                  <w:color w:val="0000ee"/>
                  <w:u w:val="single"/>
                  <w:vertAlign w:val="baseline"/>
                  <w:rtl w:val="0"/>
                </w:rPr>
                <w:t xml:space="preserve">[9]</w:t>
              </w:r>
            </w:hyperlink>
            <w:r w:rsidDel="00000000" w:rsidR="00000000" w:rsidRPr="00000000">
              <w:rPr>
                <w:vertAlign w:val="baseline"/>
                <w:rtl w:val="0"/>
              </w:rPr>
              <w:t xml:space="preserve">. Сайт: mtsbank.ru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Отрасль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color w:val="0000ee"/>
                <w:u w:val="single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Банковский сектор: розничный банк / финтех </w:t>
            </w:r>
            <w:hyperlink r:id="rId8">
              <w:r w:rsidDel="00000000" w:rsidR="00000000" w:rsidRPr="00000000">
                <w:rPr>
                  <w:color w:val="0000ee"/>
                  <w:u w:val="single"/>
                  <w:vertAlign w:val="baseline"/>
                  <w:rtl w:val="0"/>
                </w:rPr>
                <w:t xml:space="preserve">[6]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Выручка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Операционные доходы до формирования резервов за 2025 год (МСФО) 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67,0 млрд ₽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 (−4,2% г/г) </w:t>
            </w:r>
            <w:hyperlink r:id="rId9">
              <w:r w:rsidDel="00000000" w:rsidR="00000000" w:rsidRPr="00000000">
                <w:rPr>
                  <w:color w:val="0000ee"/>
                  <w:u w:val="single"/>
                  <w:vertAlign w:val="baseline"/>
                  <w:rtl w:val="0"/>
                </w:rPr>
                <w:t xml:space="preserve">[1]</w:t>
              </w:r>
            </w:hyperlink>
            <w:r w:rsidDel="00000000" w:rsidR="00000000" w:rsidRPr="00000000">
              <w:rPr>
                <w:vertAlign w:val="baseline"/>
                <w:rtl w:val="0"/>
              </w:rPr>
              <w:t xml:space="preserve">, </w:t>
            </w:r>
            <w:hyperlink r:id="rId10">
              <w:r w:rsidDel="00000000" w:rsidR="00000000" w:rsidRPr="00000000">
                <w:rPr>
                  <w:color w:val="0000ee"/>
                  <w:u w:val="single"/>
                  <w:vertAlign w:val="baseline"/>
                  <w:rtl w:val="0"/>
                </w:rPr>
                <w:t xml:space="preserve">[2]</w:t>
              </w:r>
            </w:hyperlink>
            <w:r w:rsidDel="00000000" w:rsidR="00000000" w:rsidRPr="00000000">
              <w:rPr>
                <w:vertAlign w:val="baseline"/>
                <w:rtl w:val="0"/>
              </w:rPr>
              <w:t xml:space="preserve">. Для справки: чистая прибыль по МСФО за 2025 год 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vertAlign w:val="baseline"/>
                <w:rtl w:val="0"/>
              </w:rPr>
              <w:t xml:space="preserve"> 14,4 млрд ₽ (+16,7% г/г) </w:t>
            </w:r>
            <w:hyperlink r:id="rId11">
              <w:r w:rsidDel="00000000" w:rsidR="00000000" w:rsidRPr="00000000">
                <w:rPr>
                  <w:color w:val="0000ee"/>
                  <w:u w:val="single"/>
                  <w:vertAlign w:val="baseline"/>
                  <w:rtl w:val="0"/>
                </w:rPr>
                <w:t xml:space="preserve">[1]</w:t>
              </w:r>
            </w:hyperlink>
            <w:r w:rsidDel="00000000" w:rsidR="00000000" w:rsidRPr="00000000">
              <w:rPr>
                <w:vertAlign w:val="baseline"/>
                <w:rtl w:val="0"/>
              </w:rPr>
              <w:t xml:space="preserve">, </w:t>
            </w:r>
            <w:hyperlink r:id="rId12">
              <w:r w:rsidDel="00000000" w:rsidR="00000000" w:rsidRPr="00000000">
                <w:rPr>
                  <w:color w:val="0000ee"/>
                  <w:u w:val="single"/>
                  <w:vertAlign w:val="baseline"/>
                  <w:rtl w:val="0"/>
                </w:rPr>
                <w:t xml:space="preserve">[3]</w:t>
              </w:r>
            </w:hyperlink>
            <w:r w:rsidDel="00000000" w:rsidR="00000000" w:rsidRPr="00000000">
              <w:rPr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i w:val="1"/>
                <w:iCs w:val="1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vertAlign w:val="baseline"/>
                <w:rtl w:val="0"/>
              </w:rPr>
              <w:t xml:space="preserve">Методическое примечание: для банка в качестве аналога выручки используются операционные доходы до резервов (сумма чистых процентных и чистых комиссионных и прочих непроцентных доходов).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Способ подтверждения масштаба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Способ 1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 публичные данные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Источник 1: пресс-релиз банка о публикации годовой отч</w:t>
            </w:r>
            <w:r w:rsidDel="00000000" w:rsidR="00000000" w:rsidRPr="00000000">
              <w:rPr>
                <w:rtl w:val="0"/>
              </w:rPr>
              <w:t xml:space="preserve">е</w:t>
            </w:r>
            <w:r w:rsidDel="00000000" w:rsidR="00000000" w:rsidRPr="00000000">
              <w:rPr>
                <w:vertAlign w:val="baseline"/>
                <w:rtl w:val="0"/>
              </w:rPr>
              <w:t xml:space="preserve">тности МСФО </w:t>
            </w:r>
            <w:hyperlink r:id="rId13">
              <w:r w:rsidDel="00000000" w:rsidR="00000000" w:rsidRPr="00000000">
                <w:rPr>
                  <w:color w:val="0000ee"/>
                  <w:u w:val="single"/>
                  <w:vertAlign w:val="baseline"/>
                  <w:rtl w:val="0"/>
                </w:rPr>
                <w:t xml:space="preserve">[1]</w:t>
              </w:r>
            </w:hyperlink>
            <w:r w:rsidDel="00000000" w:rsidR="00000000" w:rsidRPr="00000000">
              <w:rPr>
                <w:vertAlign w:val="baseline"/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Источник 2 (независимый): ТАСС </w:t>
            </w:r>
            <w:hyperlink r:id="rId14">
              <w:r w:rsidDel="00000000" w:rsidR="00000000" w:rsidRPr="00000000">
                <w:rPr>
                  <w:color w:val="0000ee"/>
                  <w:u w:val="single"/>
                  <w:vertAlign w:val="baseline"/>
                  <w:rtl w:val="0"/>
                </w:rPr>
                <w:t xml:space="preserve">[2]</w:t>
              </w:r>
            </w:hyperlink>
            <w:r w:rsidDel="00000000" w:rsidR="00000000" w:rsidRPr="00000000">
              <w:rPr>
                <w:vertAlign w:val="baseline"/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Источник 3: Ведомости </w:t>
            </w:r>
            <w:hyperlink r:id="rId15">
              <w:r w:rsidDel="00000000" w:rsidR="00000000" w:rsidRPr="00000000">
                <w:rPr>
                  <w:color w:val="0000ee"/>
                  <w:u w:val="single"/>
                  <w:vertAlign w:val="baseline"/>
                  <w:rtl w:val="0"/>
                </w:rPr>
                <w:t xml:space="preserve">[3]</w:t>
              </w:r>
            </w:hyperlink>
            <w:r w:rsidDel="00000000" w:rsidR="00000000" w:rsidRPr="00000000">
              <w:rPr>
                <w:vertAlign w:val="baseline"/>
                <w:rtl w:val="0"/>
              </w:rPr>
              <w:t xml:space="preserve">. Планка 300 млн ₽ превышена более чем в 200 раз (расч</w:t>
            </w:r>
            <w:r w:rsidDel="00000000" w:rsidR="00000000" w:rsidRPr="00000000">
              <w:rPr>
                <w:rtl w:val="0"/>
              </w:rPr>
              <w:t xml:space="preserve">е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т: 67 000 / 300 ≈ 223).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Направления выручки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Чистые комиссионные и прочие непроцентные доходы 2025 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vertAlign w:val="baseline"/>
                <w:rtl w:val="0"/>
              </w:rPr>
              <w:t xml:space="preserve"> 21 млрд ₽ </w:t>
            </w:r>
            <w:hyperlink r:id="rId16">
              <w:r w:rsidDel="00000000" w:rsidR="00000000" w:rsidRPr="00000000">
                <w:rPr>
                  <w:color w:val="0000ee"/>
                  <w:u w:val="single"/>
                  <w:vertAlign w:val="baseline"/>
                  <w:rtl w:val="0"/>
                </w:rPr>
                <w:t xml:space="preserve">[2]</w:t>
              </w:r>
            </w:hyperlink>
            <w:r w:rsidDel="00000000" w:rsidR="00000000" w:rsidRPr="00000000">
              <w:rPr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Чистые процентные доходы до резервов ≈ 46 млрд ₽ (расч</w:t>
            </w:r>
            <w:r w:rsidDel="00000000" w:rsidR="00000000" w:rsidRPr="00000000">
              <w:rPr>
                <w:rtl w:val="0"/>
              </w:rPr>
              <w:t xml:space="preserve">е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т по [1], [2]: 67,0 − 21,0).</w:t>
            </w:r>
          </w:p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Доли: процентный доход ≈ 69%, комиссионный и прочий ≈ 31% (расч</w:t>
            </w:r>
            <w:r w:rsidDel="00000000" w:rsidR="00000000" w:rsidRPr="00000000">
              <w:rPr>
                <w:rtl w:val="0"/>
              </w:rPr>
              <w:t xml:space="preserve">е</w:t>
            </w:r>
            <w:r w:rsidDel="00000000" w:rsidR="00000000" w:rsidRPr="00000000">
              <w:rPr>
                <w:vertAlign w:val="baseline"/>
                <w:rtl w:val="0"/>
              </w:rPr>
              <w:t xml:space="preserve">т).</w:t>
            </w:r>
          </w:p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Стратегия 2025–2028: довести долю комиссионного дохода до более чем 50% выручки </w:t>
            </w:r>
            <w:hyperlink r:id="rId17">
              <w:r w:rsidDel="00000000" w:rsidR="00000000" w:rsidRPr="00000000">
                <w:rPr>
                  <w:color w:val="0000ee"/>
                  <w:u w:val="single"/>
                  <w:vertAlign w:val="baseline"/>
                  <w:rtl w:val="0"/>
                </w:rPr>
                <w:t xml:space="preserve">[5]</w:t>
              </w:r>
            </w:hyperlink>
            <w:r w:rsidDel="00000000" w:rsidR="00000000" w:rsidRPr="00000000">
              <w:rPr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Клиенты и каналы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Платят преимущественно физические лица (розничное кредитование, daily banking); также МСБ и корпоративный сегмент </w:t>
            </w:r>
            <w:hyperlink r:id="rId18">
              <w:r w:rsidDel="00000000" w:rsidR="00000000" w:rsidRPr="00000000">
                <w:rPr>
                  <w:color w:val="0000ee"/>
                  <w:u w:val="single"/>
                  <w:vertAlign w:val="baseline"/>
                  <w:rtl w:val="0"/>
                </w:rPr>
                <w:t xml:space="preserve">[8]</w:t>
              </w:r>
            </w:hyperlink>
            <w:r w:rsidDel="00000000" w:rsidR="00000000" w:rsidRPr="00000000">
              <w:rPr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Выпущено более 4,5 млн карт «МТС Деньги»; оборот по дебетовым продуктам вырос вдвое, до 108 млрд ₽, более 90% 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vertAlign w:val="baseline"/>
                <w:rtl w:val="0"/>
              </w:rPr>
              <w:t xml:space="preserve"> операции вне телекома </w:t>
            </w:r>
            <w:hyperlink r:id="rId19">
              <w:r w:rsidDel="00000000" w:rsidR="00000000" w:rsidRPr="00000000">
                <w:rPr>
                  <w:color w:val="0000ee"/>
                  <w:u w:val="single"/>
                  <w:vertAlign w:val="baseline"/>
                  <w:rtl w:val="0"/>
                </w:rPr>
                <w:t xml:space="preserve">[4]</w:t>
              </w:r>
            </w:hyperlink>
            <w:r w:rsidDel="00000000" w:rsidR="00000000" w:rsidRPr="00000000">
              <w:rPr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Каналы: мобильное приложение и цифровые продажи, салоны и клиентская база МТС, партн</w:t>
            </w:r>
            <w:r w:rsidDel="00000000" w:rsidR="00000000" w:rsidRPr="00000000">
              <w:rPr>
                <w:rtl w:val="0"/>
              </w:rPr>
              <w:t xml:space="preserve">е</w:t>
            </w:r>
            <w:r w:rsidDel="00000000" w:rsidR="00000000" w:rsidRPr="00000000">
              <w:rPr>
                <w:vertAlign w:val="baseline"/>
                <w:rtl w:val="0"/>
              </w:rPr>
              <w:t xml:space="preserve">рские точки POS-кредитования, МТС Pay, BNPL-сервис «Флекс» </w:t>
            </w:r>
            <w:hyperlink r:id="rId20">
              <w:r w:rsidDel="00000000" w:rsidR="00000000" w:rsidRPr="00000000">
                <w:rPr>
                  <w:color w:val="0000ee"/>
                  <w:u w:val="single"/>
                  <w:vertAlign w:val="baseline"/>
                  <w:rtl w:val="0"/>
                </w:rPr>
                <w:t xml:space="preserve">[5]</w:t>
              </w:r>
            </w:hyperlink>
            <w:r w:rsidDel="00000000" w:rsidR="00000000" w:rsidRPr="00000000">
              <w:rPr>
                <w:vertAlign w:val="baseline"/>
                <w:rtl w:val="0"/>
              </w:rPr>
              <w:t xml:space="preserve">, </w:t>
            </w:r>
            <w:hyperlink r:id="rId21">
              <w:r w:rsidDel="00000000" w:rsidR="00000000" w:rsidRPr="00000000">
                <w:rPr>
                  <w:color w:val="0000ee"/>
                  <w:u w:val="single"/>
                  <w:vertAlign w:val="baseline"/>
                  <w:rtl w:val="0"/>
                </w:rPr>
                <w:t xml:space="preserve">[7]</w:t>
              </w:r>
            </w:hyperlink>
            <w:r w:rsidDel="00000000" w:rsidR="00000000" w:rsidRPr="00000000">
              <w:rPr>
                <w:vertAlign w:val="baseline"/>
                <w:rtl w:val="0"/>
              </w:rPr>
              <w:t xml:space="preserve">. Потенциал масштабирования 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vertAlign w:val="baseline"/>
                <w:rtl w:val="0"/>
              </w:rPr>
              <w:t xml:space="preserve"> 80-миллионная клиентская база экосистемы МТС </w:t>
            </w:r>
            <w:hyperlink r:id="rId22">
              <w:r w:rsidDel="00000000" w:rsidR="00000000" w:rsidRPr="00000000">
                <w:rPr>
                  <w:color w:val="0000ee"/>
                  <w:u w:val="single"/>
                  <w:vertAlign w:val="baseline"/>
                  <w:rtl w:val="0"/>
                </w:rPr>
                <w:t xml:space="preserve">[1]</w:t>
              </w:r>
            </w:hyperlink>
            <w:r w:rsidDel="00000000" w:rsidR="00000000" w:rsidRPr="00000000">
              <w:rPr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i w:val="1"/>
                <w:iCs w:val="1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vertAlign w:val="baseline"/>
                <w:rtl w:val="0"/>
              </w:rPr>
              <w:t xml:space="preserve">Допущение (вторичный источник): около 4 млн активных клиентов; доля цифровых продаж кредитов наличными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-</w:t>
            </w:r>
            <w:r w:rsidDel="00000000" w:rsidR="00000000" w:rsidRPr="00000000">
              <w:rPr>
                <w:i w:val="1"/>
                <w:iCs w:val="1"/>
                <w:vertAlign w:val="baseline"/>
                <w:rtl w:val="0"/>
              </w:rPr>
              <w:t xml:space="preserve"> более 85% </w:t>
            </w:r>
            <w:hyperlink r:id="rId23">
              <w:r w:rsidDel="00000000" w:rsidR="00000000" w:rsidRPr="00000000">
                <w:rPr>
                  <w:i w:val="1"/>
                  <w:iCs w:val="1"/>
                  <w:color w:val="0000ee"/>
                  <w:u w:val="single"/>
                  <w:vertAlign w:val="baseline"/>
                  <w:rtl w:val="0"/>
                </w:rPr>
                <w:t xml:space="preserve">[10]</w:t>
              </w:r>
            </w:hyperlink>
            <w:r w:rsidDel="00000000" w:rsidR="00000000" w:rsidRPr="00000000">
              <w:rPr>
                <w:i w:val="1"/>
                <w:iCs w:val="1"/>
                <w:vertAlign w:val="baseline"/>
                <w:rtl w:val="0"/>
              </w:rPr>
              <w:t xml:space="preserve">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Что известно об ИТ на входе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1) Более 100 продуктовых команд; серверная часть 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vertAlign w:val="baseline"/>
                <w:rtl w:val="0"/>
              </w:rPr>
              <w:t xml:space="preserve"> Java, Kotlin, Go; клиентская 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vertAlign w:val="baseline"/>
                <w:rtl w:val="0"/>
              </w:rPr>
              <w:t xml:space="preserve"> TypeScript, React, Next.js </w:t>
            </w:r>
            <w:hyperlink r:id="rId24">
              <w:r w:rsidDel="00000000" w:rsidR="00000000" w:rsidRPr="00000000">
                <w:rPr>
                  <w:color w:val="0000ee"/>
                  <w:u w:val="single"/>
                  <w:vertAlign w:val="baseline"/>
                  <w:rtl w:val="0"/>
                </w:rPr>
                <w:t xml:space="preserve">[7]</w:t>
              </w:r>
            </w:hyperlink>
            <w:r w:rsidDel="00000000" w:rsidR="00000000" w:rsidRPr="00000000">
              <w:rPr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2) Собственная команда АБС: развитие и эксплуатация автоматизированной банковской системы 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vertAlign w:val="baseline"/>
                <w:rtl w:val="0"/>
              </w:rPr>
              <w:t xml:space="preserve"> от проектирования продуктов до эксплуатации </w:t>
            </w:r>
            <w:hyperlink r:id="rId25">
              <w:r w:rsidDel="00000000" w:rsidR="00000000" w:rsidRPr="00000000">
                <w:rPr>
                  <w:color w:val="0000ee"/>
                  <w:u w:val="single"/>
                  <w:vertAlign w:val="baseline"/>
                  <w:rtl w:val="0"/>
                </w:rPr>
                <w:t xml:space="preserve">[8]</w:t>
              </w:r>
            </w:hyperlink>
            <w:r w:rsidDel="00000000" w:rsidR="00000000" w:rsidRPr="00000000">
              <w:rPr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3) Открытые ИТ-вакансии: бизнес-аналитик, DevOps-инженер, технический директор (CTO) </w:t>
            </w:r>
            <w:hyperlink r:id="rId26">
              <w:r w:rsidDel="00000000" w:rsidR="00000000" w:rsidRPr="00000000">
                <w:rPr>
                  <w:color w:val="0000ee"/>
                  <w:u w:val="single"/>
                  <w:vertAlign w:val="baseline"/>
                  <w:rtl w:val="0"/>
                </w:rPr>
                <w:t xml:space="preserve">[7]</w:t>
              </w:r>
            </w:hyperlink>
            <w:r w:rsidDel="00000000" w:rsidR="00000000" w:rsidRPr="00000000">
              <w:rPr>
                <w:vertAlign w:val="baseline"/>
                <w:rtl w:val="0"/>
              </w:rPr>
              <w:t xml:space="preserve">; ведущий аналитик антифрод-систем </w:t>
            </w:r>
            <w:hyperlink r:id="rId27">
              <w:r w:rsidDel="00000000" w:rsidR="00000000" w:rsidRPr="00000000">
                <w:rPr>
                  <w:color w:val="0000ee"/>
                  <w:u w:val="single"/>
                  <w:vertAlign w:val="baseline"/>
                  <w:rtl w:val="0"/>
                </w:rPr>
                <w:t xml:space="preserve">[8]</w:t>
              </w:r>
            </w:hyperlink>
            <w:r w:rsidDel="00000000" w:rsidR="00000000" w:rsidRPr="00000000">
              <w:rPr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4) Банк не входит в число аккредитованных ИТ-компаний; продуктовые и ИТ-команды работают преимущественно по Agile </w:t>
            </w:r>
            <w:hyperlink r:id="rId28">
              <w:r w:rsidDel="00000000" w:rsidR="00000000" w:rsidRPr="00000000">
                <w:rPr>
                  <w:color w:val="0000ee"/>
                  <w:u w:val="single"/>
                  <w:vertAlign w:val="baseline"/>
                  <w:rtl w:val="0"/>
                </w:rPr>
                <w:t xml:space="preserve">[7]</w:t>
              </w:r>
            </w:hyperlink>
            <w:r w:rsidDel="00000000" w:rsidR="00000000" w:rsidRPr="00000000">
              <w:rPr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Доступ студента к сведениям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Только открытые данные: отч</w:t>
            </w:r>
            <w:r w:rsidDel="00000000" w:rsidR="00000000" w:rsidRPr="00000000">
              <w:rPr>
                <w:rtl w:val="0"/>
              </w:rPr>
              <w:t xml:space="preserve">е</w:t>
            </w:r>
            <w:r w:rsidDel="00000000" w:rsidR="00000000" w:rsidRPr="00000000">
              <w:rPr>
                <w:vertAlign w:val="baseline"/>
                <w:rtl w:val="0"/>
              </w:rPr>
              <w:t xml:space="preserve">тность МСФО, раскрытие на e-disclosure, пресс-релизы, вакансии, выступления сотрудников. Внутреннего доступа нет 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vertAlign w:val="baseline"/>
                <w:rtl w:val="0"/>
              </w:rPr>
              <w:t xml:space="preserve"> в ПР1 и ПР3 ожидается заметный реестр допущений.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Ограничения на раскрытие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NDA нет. Нормировка не применяется, суммы указываются в номинальных рублях по МСФО. Данные клиентов и имена сотрудников не используются.</w:t>
            </w:r>
          </w:p>
        </w:tc>
      </w:tr>
    </w:tbl>
    <w:p w:rsidR="00000000" w:rsidDel="00000000" w:rsidP="00000000" w:rsidRDefault="00000000" w:rsidRPr="00000000" w14:paraId="0000002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Краткая версия паспорта </w:t>
      </w:r>
    </w:p>
    <w:tbl>
      <w:tblPr>
        <w:tblStyle w:val="Table2"/>
        <w:tblW w:w="9360.0" w:type="dxa"/>
        <w:jc w:val="left"/>
        <w:tblBorders>
          <w:top w:color="999999" w:space="0" w:sz="6" w:val="single"/>
          <w:left w:color="999999" w:space="0" w:sz="6" w:val="single"/>
          <w:bottom w:color="999999" w:space="0" w:sz="6" w:val="single"/>
          <w:right w:color="999999" w:space="0" w:sz="6" w:val="single"/>
          <w:insideH w:color="999999" w:space="0" w:sz="6" w:val="single"/>
          <w:insideV w:color="999999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ef7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Строка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ef7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Содержание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 Бизнес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color w:val="0000ee"/>
                <w:u w:val="single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ПАО «МТС-Банк», цифровой розничный банк экосистемы МТС; отрасль 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vertAlign w:val="baseline"/>
                <w:rtl w:val="0"/>
              </w:rPr>
              <w:t xml:space="preserve"> банки / финтех, РФ </w:t>
            </w:r>
            <w:hyperlink r:id="rId29">
              <w:r w:rsidDel="00000000" w:rsidR="00000000" w:rsidRPr="00000000">
                <w:rPr>
                  <w:color w:val="0000ee"/>
                  <w:u w:val="single"/>
                  <w:vertAlign w:val="baseline"/>
                  <w:rtl w:val="0"/>
                </w:rPr>
                <w:t xml:space="preserve">[6]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 Масштаб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color w:val="0000ee"/>
                <w:u w:val="single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Операционные доходы до резервов 67,0 млрд ₽ за 2025 год (МСФО) </w:t>
            </w:r>
            <w:hyperlink r:id="rId30">
              <w:r w:rsidDel="00000000" w:rsidR="00000000" w:rsidRPr="00000000">
                <w:rPr>
                  <w:color w:val="0000ee"/>
                  <w:u w:val="single"/>
                  <w:vertAlign w:val="baseline"/>
                  <w:rtl w:val="0"/>
                </w:rPr>
                <w:t xml:space="preserve">[1]</w:t>
              </w:r>
            </w:hyperlink>
            <w:r w:rsidDel="00000000" w:rsidR="00000000" w:rsidRPr="00000000">
              <w:rPr>
                <w:vertAlign w:val="baseline"/>
                <w:rtl w:val="0"/>
              </w:rPr>
              <w:t xml:space="preserve">, </w:t>
            </w:r>
            <w:hyperlink r:id="rId31">
              <w:r w:rsidDel="00000000" w:rsidR="00000000" w:rsidRPr="00000000">
                <w:rPr>
                  <w:color w:val="0000ee"/>
                  <w:u w:val="single"/>
                  <w:vertAlign w:val="baseline"/>
                  <w:rtl w:val="0"/>
                </w:rPr>
                <w:t xml:space="preserve">[2]</w:t>
              </w:r>
            </w:hyperlink>
            <w:r w:rsidDel="00000000" w:rsidR="00000000" w:rsidRPr="00000000">
              <w:rPr>
                <w:vertAlign w:val="baseline"/>
                <w:rtl w:val="0"/>
              </w:rPr>
              <w:t xml:space="preserve">, </w:t>
            </w:r>
            <w:hyperlink r:id="rId32">
              <w:r w:rsidDel="00000000" w:rsidR="00000000" w:rsidRPr="00000000">
                <w:rPr>
                  <w:color w:val="0000ee"/>
                  <w:u w:val="single"/>
                  <w:vertAlign w:val="baseline"/>
                  <w:rtl w:val="0"/>
                </w:rPr>
                <w:t xml:space="preserve">[3]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3. Направления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Чистые процентные доходы ≈ 69%, комиссионные и прочие непроцентные ≈ 31% (расч</w:t>
            </w:r>
            <w:r w:rsidDel="00000000" w:rsidR="00000000" w:rsidRPr="00000000">
              <w:rPr>
                <w:rtl w:val="0"/>
              </w:rPr>
              <w:t xml:space="preserve">е</w:t>
            </w:r>
            <w:r w:rsidDel="00000000" w:rsidR="00000000" w:rsidRPr="00000000">
              <w:rPr>
                <w:vertAlign w:val="baseline"/>
                <w:rtl w:val="0"/>
              </w:rPr>
              <w:t xml:space="preserve">т по МСФО 2025 </w:t>
            </w:r>
            <w:hyperlink r:id="rId33">
              <w:r w:rsidDel="00000000" w:rsidR="00000000" w:rsidRPr="00000000">
                <w:rPr>
                  <w:color w:val="0000ee"/>
                  <w:u w:val="single"/>
                  <w:vertAlign w:val="baseline"/>
                  <w:rtl w:val="0"/>
                </w:rPr>
                <w:t xml:space="preserve">[1]</w:t>
              </w:r>
            </w:hyperlink>
            <w:r w:rsidDel="00000000" w:rsidR="00000000" w:rsidRPr="00000000">
              <w:rPr>
                <w:vertAlign w:val="baseline"/>
                <w:rtl w:val="0"/>
              </w:rPr>
              <w:t xml:space="preserve">, </w:t>
            </w:r>
            <w:hyperlink r:id="rId34">
              <w:r w:rsidDel="00000000" w:rsidR="00000000" w:rsidRPr="00000000">
                <w:rPr>
                  <w:color w:val="0000ee"/>
                  <w:u w:val="single"/>
                  <w:vertAlign w:val="baseline"/>
                  <w:rtl w:val="0"/>
                </w:rPr>
                <w:t xml:space="preserve">[2]</w:t>
              </w:r>
            </w:hyperlink>
            <w:r w:rsidDel="00000000" w:rsidR="00000000" w:rsidRPr="00000000">
              <w:rPr>
                <w:vertAlign w:val="baseline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4. ИТ-функция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vertAlign w:val="baseline"/>
                <w:rtl w:val="0"/>
              </w:rPr>
              <w:t xml:space="preserve">Предварительно:</w:t>
            </w:r>
            <w:r w:rsidDel="00000000" w:rsidR="00000000" w:rsidRPr="00000000">
              <w:rPr>
                <w:vertAlign w:val="baseline"/>
                <w:rtl w:val="0"/>
              </w:rPr>
              <w:t xml:space="preserve"> 100+ продуктовых команд, собственная разработка (Java/Kotlin/Go, React), собственная АБС </w:t>
            </w:r>
            <w:hyperlink r:id="rId35">
              <w:r w:rsidDel="00000000" w:rsidR="00000000" w:rsidRPr="00000000">
                <w:rPr>
                  <w:color w:val="0000ee"/>
                  <w:u w:val="single"/>
                  <w:vertAlign w:val="baseline"/>
                  <w:rtl w:val="0"/>
                </w:rPr>
                <w:t xml:space="preserve">[7]</w:t>
              </w:r>
            </w:hyperlink>
            <w:r w:rsidDel="00000000" w:rsidR="00000000" w:rsidRPr="00000000">
              <w:rPr>
                <w:vertAlign w:val="baseline"/>
                <w:rtl w:val="0"/>
              </w:rPr>
              <w:t xml:space="preserve">, </w:t>
            </w:r>
            <w:hyperlink r:id="rId36">
              <w:r w:rsidDel="00000000" w:rsidR="00000000" w:rsidRPr="00000000">
                <w:rPr>
                  <w:color w:val="0000ee"/>
                  <w:u w:val="single"/>
                  <w:vertAlign w:val="baseline"/>
                  <w:rtl w:val="0"/>
                </w:rPr>
                <w:t xml:space="preserve">[8]</w:t>
              </w:r>
            </w:hyperlink>
            <w:r w:rsidDel="00000000" w:rsidR="00000000" w:rsidRPr="00000000">
              <w:rPr>
                <w:vertAlign w:val="baseline"/>
                <w:rtl w:val="0"/>
              </w:rPr>
              <w:t xml:space="preserve">; состояние и зона 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vertAlign w:val="baseline"/>
                <w:rtl w:val="0"/>
              </w:rPr>
              <w:t xml:space="preserve"> после диагноза ПР1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5. Ограничения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Только открытые данные; NDA нет; нормировка не применяется</w:t>
            </w:r>
          </w:p>
        </w:tc>
      </w:tr>
    </w:tbl>
    <w:p w:rsidR="00000000" w:rsidDel="00000000" w:rsidP="00000000" w:rsidRDefault="00000000" w:rsidRPr="00000000" w14:paraId="0000003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Подтверждение масштаба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Способ 1 - публичные данные. Три независимых источника подтверждают одинаковую величину: 67,0 млрд ₽ операционных доходов до резервов за 2025 год по МСФО </w:t>
      </w:r>
      <w:hyperlink r:id="rId37">
        <w:r w:rsidDel="00000000" w:rsidR="00000000" w:rsidRPr="00000000">
          <w:rPr>
            <w:color w:val="0000ee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, </w:t>
      </w:r>
      <w:hyperlink r:id="rId38">
        <w:r w:rsidDel="00000000" w:rsidR="00000000" w:rsidRPr="00000000">
          <w:rPr>
            <w:color w:val="0000ee"/>
            <w:u w:val="single"/>
            <w:rtl w:val="0"/>
          </w:rPr>
          <w:t xml:space="preserve">[2]</w:t>
        </w:r>
      </w:hyperlink>
      <w:r w:rsidDel="00000000" w:rsidR="00000000" w:rsidRPr="00000000">
        <w:rPr>
          <w:rtl w:val="0"/>
        </w:rPr>
        <w:t xml:space="preserve">, </w:t>
      </w:r>
      <w:hyperlink r:id="rId39">
        <w:r w:rsidDel="00000000" w:rsidR="00000000" w:rsidRPr="00000000">
          <w:rPr>
            <w:color w:val="0000ee"/>
            <w:u w:val="single"/>
            <w:rtl w:val="0"/>
          </w:rPr>
          <w:t xml:space="preserve">[3]</w:t>
        </w:r>
      </w:hyperlink>
      <w:r w:rsidDel="00000000" w:rsidR="00000000" w:rsidRPr="00000000">
        <w:rPr>
          <w:rtl w:val="0"/>
        </w:rPr>
        <w:t xml:space="preserve">. Это более чем в 200 раз выше планки 300 млн ₽. Для сверки используется также годовая отчетность МСФО на e-disclosure.ru.</w:t>
      </w:r>
    </w:p>
    <w:p w:rsidR="00000000" w:rsidDel="00000000" w:rsidP="00000000" w:rsidRDefault="00000000" w:rsidRPr="00000000" w14:paraId="0000003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Список источников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МТС Банк. Пресс-релиз «МТС Банк увеличил чистую прибыль по МСФО на 17% до 14,4 млрд рублей по итогам 2025 года», 03.03.2026 - </w:t>
      </w:r>
      <w:hyperlink r:id="rId40">
        <w:r w:rsidDel="00000000" w:rsidR="00000000" w:rsidRPr="00000000">
          <w:rPr>
            <w:color w:val="0000ee"/>
            <w:u w:val="single"/>
            <w:rtl w:val="0"/>
          </w:rPr>
          <w:t xml:space="preserve">https://www.mtsbank.ru/o-banke/novosti/detail/1151329/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ТАСС. «Чистая прибыль МТС Банка по МСФО в 2025 году увеличилась на 16,7%», 04.03.2026 - </w:t>
      </w:r>
      <w:hyperlink r:id="rId41">
        <w:r w:rsidDel="00000000" w:rsidR="00000000" w:rsidRPr="00000000">
          <w:rPr>
            <w:color w:val="0000ee"/>
            <w:u w:val="single"/>
            <w:rtl w:val="0"/>
          </w:rPr>
          <w:t xml:space="preserve">https://tass.ru/ekonomika/26639765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Ведомости. «Чистая прибыль „МТС банка“ по МСФО выросла на 16,7% за 2025 год» - </w:t>
      </w:r>
      <w:hyperlink r:id="rId42">
        <w:r w:rsidDel="00000000" w:rsidR="00000000" w:rsidRPr="00000000">
          <w:rPr>
            <w:color w:val="0000ee"/>
            <w:u w:val="single"/>
            <w:rtl w:val="0"/>
          </w:rPr>
          <w:t xml:space="preserve">https://www.vedomosti.ru/investments/news/2026/07/03/1210924-pribil-mts-banka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Банковское обозрение. «Чистая прибыль МТС Банка по МСФО за 2025 год превысила 14 млрд рублей» - </w:t>
      </w:r>
      <w:hyperlink r:id="rId43">
        <w:r w:rsidDel="00000000" w:rsidR="00000000" w:rsidRPr="00000000">
          <w:rPr>
            <w:color w:val="0000ee"/>
            <w:u w:val="single"/>
            <w:rtl w:val="0"/>
          </w:rPr>
          <w:t xml:space="preserve">https://bosfera.ru/press-release/chistaya-pribyl-mts-banka-po-msfo-za-2025-god-prevysila-14-mlrd-rubley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МТС Банк. «Стратегия роста акционерной стоимости МТС Банка в 2025–2028 гг.», 16.06.2025 - </w:t>
      </w:r>
      <w:hyperlink r:id="rId44">
        <w:r w:rsidDel="00000000" w:rsidR="00000000" w:rsidRPr="00000000">
          <w:rPr>
            <w:color w:val="0000ee"/>
            <w:u w:val="single"/>
            <w:rtl w:val="0"/>
          </w:rPr>
          <w:t xml:space="preserve">https://www.mtsbank.ru/upload/static/o-banke/raskritie-informacii/TSR-MBNK.pdf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МТС Банк. «О банке» - </w:t>
      </w:r>
      <w:hyperlink r:id="rId45">
        <w:r w:rsidDel="00000000" w:rsidR="00000000" w:rsidRPr="00000000">
          <w:rPr>
            <w:color w:val="0000ee"/>
            <w:u w:val="single"/>
            <w:rtl w:val="0"/>
          </w:rPr>
          <w:t xml:space="preserve">https://www.mtsbank.ru/o-banke/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МТС Банк. Карьерный сайт: ИТ-направление, вакансии, FAQ - </w:t>
      </w:r>
      <w:hyperlink r:id="rId46">
        <w:r w:rsidDel="00000000" w:rsidR="00000000" w:rsidRPr="00000000">
          <w:rPr>
            <w:color w:val="0000ee"/>
            <w:u w:val="single"/>
            <w:rtl w:val="0"/>
          </w:rPr>
          <w:t xml:space="preserve">https://job.mtsbank.ru/it</w:t>
        </w:r>
      </w:hyperlink>
      <w:r w:rsidDel="00000000" w:rsidR="00000000" w:rsidRPr="00000000">
        <w:rPr>
          <w:rtl w:val="0"/>
        </w:rPr>
        <w:t xml:space="preserve"> ; </w:t>
      </w:r>
      <w:hyperlink r:id="rId47">
        <w:r w:rsidDel="00000000" w:rsidR="00000000" w:rsidRPr="00000000">
          <w:rPr>
            <w:color w:val="0000ee"/>
            <w:u w:val="single"/>
            <w:rtl w:val="0"/>
          </w:rPr>
          <w:t xml:space="preserve">https://job.mtsbank.ru/vacancies</w:t>
        </w:r>
      </w:hyperlink>
      <w:r w:rsidDel="00000000" w:rsidR="00000000" w:rsidRPr="00000000">
        <w:rPr>
          <w:rtl w:val="0"/>
        </w:rPr>
        <w:t xml:space="preserve"> ; </w:t>
      </w:r>
      <w:hyperlink r:id="rId48">
        <w:r w:rsidDel="00000000" w:rsidR="00000000" w:rsidRPr="00000000">
          <w:rPr>
            <w:color w:val="0000ee"/>
            <w:u w:val="single"/>
            <w:rtl w:val="0"/>
          </w:rPr>
          <w:t xml:space="preserve">https://job.mtsbank.ru/sales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Хабр Карьера. Вакансия «Старший разработчик АБС ЦФТ» и лента вакансий МТС Банка - </w:t>
      </w:r>
      <w:hyperlink r:id="rId49">
        <w:r w:rsidDel="00000000" w:rsidR="00000000" w:rsidRPr="00000000">
          <w:rPr>
            <w:color w:val="0000ee"/>
            <w:u w:val="single"/>
            <w:rtl w:val="0"/>
          </w:rPr>
          <w:t xml:space="preserve">https://career.habr.com/vacancies/1000081406</w:t>
        </w:r>
      </w:hyperlink>
      <w:r w:rsidDel="00000000" w:rsidR="00000000" w:rsidRPr="00000000">
        <w:rPr>
          <w:rtl w:val="0"/>
        </w:rPr>
        <w:t xml:space="preserve"> </w:t>
      </w:r>
      <w:hyperlink r:id="rId50">
        <w:r w:rsidDel="00000000" w:rsidR="00000000" w:rsidRPr="00000000">
          <w:rPr>
            <w:color w:val="0000ee"/>
            <w:u w:val="single"/>
            <w:rtl w:val="0"/>
          </w:rPr>
          <w:t xml:space="preserve">https://career.habr.com/vacancies?page=2&amp;type=all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Википедия. «МТС Банк» - </w:t>
      </w:r>
      <w:hyperlink r:id="rId51">
        <w:r w:rsidDel="00000000" w:rsidR="00000000" w:rsidRPr="00000000">
          <w:rPr>
            <w:color w:val="0000ee"/>
            <w:u w:val="single"/>
            <w:rtl w:val="0"/>
          </w:rPr>
          <w:t xml:space="preserve">https://ru.wikipedia.org/wiki/МТС_Банк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Т-Инвестиции (Пульс), разбор результатов МТС Банка за 2025 год - вторичный источник, использован только как допущение - </w:t>
      </w:r>
      <w:hyperlink r:id="rId52">
        <w:r w:rsidDel="00000000" w:rsidR="00000000" w:rsidRPr="00000000">
          <w:rPr>
            <w:color w:val="0000ee"/>
            <w:u w:val="single"/>
            <w:rtl w:val="0"/>
          </w:rPr>
          <w:t xml:space="preserve">https://www.tbank.ru/invest/social/profile/Million_dochkam/d44d6f84-84e6-405e-8abf-d0056b0f52f2/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mtsbank.ru/o-banke/novosti/detail/1151329/" TargetMode="External"/><Relationship Id="rId42" Type="http://schemas.openxmlformats.org/officeDocument/2006/relationships/hyperlink" Target="https://www.vedomosti.ru/investments/news/2026/07/03/1210924-pribil-mts-banka" TargetMode="External"/><Relationship Id="rId41" Type="http://schemas.openxmlformats.org/officeDocument/2006/relationships/hyperlink" Target="https://tass.ru/ekonomika/26639765" TargetMode="External"/><Relationship Id="rId44" Type="http://schemas.openxmlformats.org/officeDocument/2006/relationships/hyperlink" Target="https://www.mtsbank.ru/upload/static/o-banke/raskritie-informacii/TSR-MBNK.pdf" TargetMode="External"/><Relationship Id="rId43" Type="http://schemas.openxmlformats.org/officeDocument/2006/relationships/hyperlink" Target="https://bosfera.ru/press-release/chistaya-pribyl-mts-banka-po-msfo-za-2025-god-prevysila-14-mlrd-rubley" TargetMode="External"/><Relationship Id="rId46" Type="http://schemas.openxmlformats.org/officeDocument/2006/relationships/hyperlink" Target="https://job.mtsbank.ru/it" TargetMode="External"/><Relationship Id="rId45" Type="http://schemas.openxmlformats.org/officeDocument/2006/relationships/hyperlink" Target="https://www.mtsbank.ru/o-banke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mtsbank.ru/o-banke/novosti/detail/1151329/" TargetMode="External"/><Relationship Id="rId48" Type="http://schemas.openxmlformats.org/officeDocument/2006/relationships/hyperlink" Target="https://job.mtsbank.ru/sales" TargetMode="External"/><Relationship Id="rId47" Type="http://schemas.openxmlformats.org/officeDocument/2006/relationships/hyperlink" Target="https://job.mtsbank.ru/vacancies" TargetMode="External"/><Relationship Id="rId49" Type="http://schemas.openxmlformats.org/officeDocument/2006/relationships/hyperlink" Target="https://career.habr.com/vacancies/1000081406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mtsbank.ru/o-banke/" TargetMode="External"/><Relationship Id="rId7" Type="http://schemas.openxmlformats.org/officeDocument/2006/relationships/hyperlink" Target="https://ru.wikipedia.org/wiki/%D0%9C%D0%A2%D0%A1_%D0%91%D0%B0%D0%BD%D0%BA" TargetMode="External"/><Relationship Id="rId8" Type="http://schemas.openxmlformats.org/officeDocument/2006/relationships/hyperlink" Target="https://www.mtsbank.ru/o-banke/" TargetMode="External"/><Relationship Id="rId31" Type="http://schemas.openxmlformats.org/officeDocument/2006/relationships/hyperlink" Target="https://tass.ru/ekonomika/26639765" TargetMode="External"/><Relationship Id="rId30" Type="http://schemas.openxmlformats.org/officeDocument/2006/relationships/hyperlink" Target="https://www.mtsbank.ru/o-banke/novosti/detail/1151329/" TargetMode="External"/><Relationship Id="rId33" Type="http://schemas.openxmlformats.org/officeDocument/2006/relationships/hyperlink" Target="https://www.mtsbank.ru/o-banke/novosti/detail/1151329/" TargetMode="External"/><Relationship Id="rId32" Type="http://schemas.openxmlformats.org/officeDocument/2006/relationships/hyperlink" Target="https://www.vedomosti.ru/investments/news/2026/07/03/1210924-pribil-mts-banka" TargetMode="External"/><Relationship Id="rId35" Type="http://schemas.openxmlformats.org/officeDocument/2006/relationships/hyperlink" Target="https://job.mtsbank.ru/it" TargetMode="External"/><Relationship Id="rId34" Type="http://schemas.openxmlformats.org/officeDocument/2006/relationships/hyperlink" Target="https://tass.ru/ekonomika/26639765" TargetMode="External"/><Relationship Id="rId37" Type="http://schemas.openxmlformats.org/officeDocument/2006/relationships/hyperlink" Target="https://www.mtsbank.ru/o-banke/novosti/detail/1151329/" TargetMode="External"/><Relationship Id="rId36" Type="http://schemas.openxmlformats.org/officeDocument/2006/relationships/hyperlink" Target="https://career.habr.com/vacancies/1000081406" TargetMode="External"/><Relationship Id="rId39" Type="http://schemas.openxmlformats.org/officeDocument/2006/relationships/hyperlink" Target="https://www.vedomosti.ru/investments/news/2026/07/03/1210924-pribil-mts-banka" TargetMode="External"/><Relationship Id="rId38" Type="http://schemas.openxmlformats.org/officeDocument/2006/relationships/hyperlink" Target="https://tass.ru/ekonomika/26639765" TargetMode="External"/><Relationship Id="rId20" Type="http://schemas.openxmlformats.org/officeDocument/2006/relationships/hyperlink" Target="https://www.mtsbank.ru/upload/static/o-banke/raskritie-informacii/TSR-MBNK.pdf" TargetMode="External"/><Relationship Id="rId22" Type="http://schemas.openxmlformats.org/officeDocument/2006/relationships/hyperlink" Target="https://www.mtsbank.ru/o-banke/novosti/detail/1151329/" TargetMode="External"/><Relationship Id="rId21" Type="http://schemas.openxmlformats.org/officeDocument/2006/relationships/hyperlink" Target="https://job.mtsbank.ru/it" TargetMode="External"/><Relationship Id="rId24" Type="http://schemas.openxmlformats.org/officeDocument/2006/relationships/hyperlink" Target="https://job.mtsbank.ru/it" TargetMode="External"/><Relationship Id="rId23" Type="http://schemas.openxmlformats.org/officeDocument/2006/relationships/hyperlink" Target="https://www.tbank.ru/invest/social/profile/Million_dochkam/d44d6f84-84e6-405e-8abf-d0056b0f52f2/" TargetMode="External"/><Relationship Id="rId26" Type="http://schemas.openxmlformats.org/officeDocument/2006/relationships/hyperlink" Target="https://job.mtsbank.ru/vacancies" TargetMode="External"/><Relationship Id="rId25" Type="http://schemas.openxmlformats.org/officeDocument/2006/relationships/hyperlink" Target="https://career.habr.com/vacancies/1000081406" TargetMode="External"/><Relationship Id="rId28" Type="http://schemas.openxmlformats.org/officeDocument/2006/relationships/hyperlink" Target="https://job.mtsbank.ru/sales" TargetMode="External"/><Relationship Id="rId27" Type="http://schemas.openxmlformats.org/officeDocument/2006/relationships/hyperlink" Target="https://career.habr.com/vacancies?page=2&amp;type=all" TargetMode="External"/><Relationship Id="rId29" Type="http://schemas.openxmlformats.org/officeDocument/2006/relationships/hyperlink" Target="https://www.mtsbank.ru/o-banke/" TargetMode="External"/><Relationship Id="rId51" Type="http://schemas.openxmlformats.org/officeDocument/2006/relationships/hyperlink" Target="https://ru.wikipedia.org/wiki/%D0%9C%D0%A2%D0%A1_%D0%91%D0%B0%D0%BD%D0%BA" TargetMode="External"/><Relationship Id="rId50" Type="http://schemas.openxmlformats.org/officeDocument/2006/relationships/hyperlink" Target="https://career.habr.com/vacancies?page=2&amp;type=all" TargetMode="External"/><Relationship Id="rId52" Type="http://schemas.openxmlformats.org/officeDocument/2006/relationships/hyperlink" Target="https://www.tbank.ru/invest/social/profile/Million_dochkam/d44d6f84-84e6-405e-8abf-d0056b0f52f2/" TargetMode="External"/><Relationship Id="rId11" Type="http://schemas.openxmlformats.org/officeDocument/2006/relationships/hyperlink" Target="https://www.mtsbank.ru/o-banke/novosti/detail/1151329/" TargetMode="External"/><Relationship Id="rId10" Type="http://schemas.openxmlformats.org/officeDocument/2006/relationships/hyperlink" Target="https://tass.ru/ekonomika/26639765" TargetMode="External"/><Relationship Id="rId13" Type="http://schemas.openxmlformats.org/officeDocument/2006/relationships/hyperlink" Target="https://www.mtsbank.ru/o-banke/novosti/detail/1151329/" TargetMode="External"/><Relationship Id="rId12" Type="http://schemas.openxmlformats.org/officeDocument/2006/relationships/hyperlink" Target="https://www.vedomosti.ru/investments/news/2026/07/03/1210924-pribil-mts-banka" TargetMode="External"/><Relationship Id="rId15" Type="http://schemas.openxmlformats.org/officeDocument/2006/relationships/hyperlink" Target="https://www.vedomosti.ru/investments/news/2026/07/03/1210924-pribil-mts-banka" TargetMode="External"/><Relationship Id="rId14" Type="http://schemas.openxmlformats.org/officeDocument/2006/relationships/hyperlink" Target="https://tass.ru/ekonomika/26639765" TargetMode="External"/><Relationship Id="rId17" Type="http://schemas.openxmlformats.org/officeDocument/2006/relationships/hyperlink" Target="https://www.mtsbank.ru/upload/static/o-banke/raskritie-informacii/TSR-MBNK.pdf" TargetMode="External"/><Relationship Id="rId16" Type="http://schemas.openxmlformats.org/officeDocument/2006/relationships/hyperlink" Target="https://tass.ru/ekonomika/26639765" TargetMode="External"/><Relationship Id="rId19" Type="http://schemas.openxmlformats.org/officeDocument/2006/relationships/hyperlink" Target="https://bosfera.ru/press-release/chistaya-pribyl-mts-banka-po-msfo-za-2025-god-prevysila-14-mlrd-rubley" TargetMode="External"/><Relationship Id="rId18" Type="http://schemas.openxmlformats.org/officeDocument/2006/relationships/hyperlink" Target="https://career.habr.com/vacancies/100008140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