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200" w:line="276" w:lineRule="auto"/>
        <w:rPr>
          <w:rFonts w:ascii="Arial" w:cs="Arial" w:eastAsia="Arial" w:hAnsi="Arial"/>
          <w:sz w:val="28"/>
          <w:szCs w:val="28"/>
        </w:rPr>
      </w:pPr>
      <w:bookmarkStart w:colFirst="0" w:colLast="0" w:name="_lbhkpoe26ktz" w:id="0"/>
      <w:bookmarkEnd w:id="0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ПР3_МТС - Процессы под гипотезы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0" w:before="200" w:line="276" w:lineRule="auto"/>
        <w:rPr>
          <w:rFonts w:ascii="Arial" w:cs="Arial" w:eastAsia="Arial" w:hAnsi="Arial"/>
          <w:sz w:val="22"/>
          <w:szCs w:val="22"/>
        </w:rPr>
      </w:pPr>
      <w:bookmarkStart w:colFirst="0" w:colLast="0" w:name="_vq3rxtxscskk" w:id="1"/>
      <w:bookmarkEnd w:id="1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Краткая версия паспорта</w:t>
      </w:r>
    </w:p>
    <w:tbl>
      <w:tblPr>
        <w:tblStyle w:val="Table1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276.548835650863"/>
        <w:gridCol w:w="5748.96297537276"/>
        <w:tblGridChange w:id="0">
          <w:tblGrid>
            <w:gridCol w:w="3276.548835650863"/>
            <w:gridCol w:w="5748.96297537276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Содержание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ПАО «МТС-Банк», цифровой розничный банк экосистемы МТС; банки / финтех, РФ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Операционный доход до резервов 67,0 млрд ₽ за 2025 г.; 1% ≈ 670 млн ₽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Процентные доходы ≈ 69%, комиссионные ≈ 31%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ИТ-функция - поставщик услуг с элементами перехода к партнеру; 100+ команд, собственная разработка, АБС на ЦФТ, дефицит аналитиков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Только открытые данные; NDA нет</w:t>
            </w:r>
          </w:p>
        </w:tc>
      </w:tr>
    </w:tbl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0" w:before="200" w:line="276" w:lineRule="auto"/>
        <w:rPr>
          <w:rFonts w:ascii="Arial" w:cs="Arial" w:eastAsia="Arial" w:hAnsi="Arial"/>
          <w:sz w:val="22"/>
          <w:szCs w:val="22"/>
        </w:rPr>
      </w:pPr>
      <w:bookmarkStart w:colFirst="0" w:colLast="0" w:name="_qvgrrrlrcrtm" w:id="2"/>
      <w:bookmarkEnd w:id="2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 Выбор процессов</w:t>
      </w:r>
    </w:p>
    <w:p w:rsidR="00000000" w:rsidDel="00000000" w:rsidP="00000000" w:rsidRDefault="00000000" w:rsidRPr="00000000" w14:paraId="00000010">
      <w:pPr>
        <w:spacing w:after="0" w:before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Беру два процесса, которые обслуживают гипотезы, принятые в ПР2: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before="20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Скоринг и одобрение кредита наличными - гипотеза №1 (снижение стоимости риска).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before="20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Раннее взыскание просрочки 1–30 дней - гипотеза №5 (снижение roll-rate в 90+).</w:t>
      </w:r>
    </w:p>
    <w:p w:rsidR="00000000" w:rsidDel="00000000" w:rsidP="00000000" w:rsidRDefault="00000000" w:rsidRPr="00000000" w14:paraId="00000013">
      <w:pPr>
        <w:spacing w:after="0" w:before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Процесс №2 «workflow согласования продукта» не беру отдельно: он не создает риск-эффект, а ускоряет запуск. Процесс №3 «расчет себестоимости» - это не операционный процесс, а управленческий расчет. Два выбранных процесса делят одно узкое место - риск-аналитиков и данные, поэтому их изменение надо рассматривать вместе.</w:t>
      </w:r>
    </w:p>
    <w:p w:rsidR="00000000" w:rsidDel="00000000" w:rsidP="00000000" w:rsidRDefault="00000000" w:rsidRPr="00000000" w14:paraId="00000014">
      <w:pPr>
        <w:spacing w:after="0" w:before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0" w:before="200" w:line="276" w:lineRule="auto"/>
        <w:rPr>
          <w:rFonts w:ascii="Arial" w:cs="Arial" w:eastAsia="Arial" w:hAnsi="Arial"/>
          <w:sz w:val="22"/>
          <w:szCs w:val="22"/>
        </w:rPr>
      </w:pPr>
      <w:bookmarkStart w:colFirst="0" w:colLast="0" w:name="_hpqh0jnoqia" w:id="3"/>
      <w:bookmarkEnd w:id="3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 Процесс 1: скоринг и одобрение кредита наличными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after="0" w:before="200" w:line="276" w:lineRule="auto"/>
        <w:rPr>
          <w:rFonts w:ascii="Arial" w:cs="Arial" w:eastAsia="Arial" w:hAnsi="Arial"/>
          <w:sz w:val="22"/>
          <w:szCs w:val="22"/>
        </w:rPr>
      </w:pPr>
      <w:bookmarkStart w:colFirst="0" w:colLast="0" w:name="_ckznh1vqreqx" w:id="4"/>
      <w:bookmarkEnd w:id="4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2.1. Схема «до» - BPMN-описание</w:t>
      </w:r>
    </w:p>
    <w:p w:rsidR="00000000" w:rsidDel="00000000" w:rsidP="00000000" w:rsidRDefault="00000000" w:rsidRPr="00000000" w14:paraId="00000017">
      <w:pPr>
        <w:spacing w:after="0" w:before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Пул: Клиент - Фронт/CRM - Антифрод - Decision Engine - Риск-аналитик - ABS.</w:t>
      </w:r>
    </w:p>
    <w:p w:rsidR="00000000" w:rsidDel="00000000" w:rsidP="00000000" w:rsidRDefault="00000000" w:rsidRPr="00000000" w14:paraId="00000018">
      <w:pPr>
        <w:spacing w:after="0" w:before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Поток: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before="20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Клиент подает заявку в приложении/салоне.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before="20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Фронт/CRM собирает данные и согласия.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before="20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ABS запрашивает внешние и внутренние данные.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before="20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Антифрод проверяет заявку.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before="20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Decision Engine считает скоринг.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before="20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Если сработал флаг - риск-аналитик вручную проверяет заявку.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before="20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ABS фиксирует решение.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before="20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Клиент получает ответ.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0" w:before="200" w:line="276" w:lineRule="auto"/>
        <w:rPr>
          <w:rFonts w:ascii="Arial" w:cs="Arial" w:eastAsia="Arial" w:hAnsi="Arial"/>
          <w:sz w:val="22"/>
          <w:szCs w:val="22"/>
        </w:rPr>
      </w:pPr>
      <w:bookmarkStart w:colFirst="0" w:colLast="0" w:name="_8i4guw8o4ir9" w:id="5"/>
      <w:bookmarkEnd w:id="5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2.2. Таблица потерь «до»</w:t>
      </w:r>
    </w:p>
    <w:tbl>
      <w:tblPr>
        <w:tblStyle w:val="Table2"/>
        <w:tblW w:w="11100.0" w:type="dxa"/>
        <w:jc w:val="left"/>
        <w:tblInd w:w="-9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650"/>
        <w:gridCol w:w="1785"/>
        <w:gridCol w:w="1620"/>
        <w:gridCol w:w="1695"/>
        <w:gridCol w:w="1695"/>
        <w:gridCol w:w="2655"/>
        <w:tblGridChange w:id="0">
          <w:tblGrid>
            <w:gridCol w:w="1650"/>
            <w:gridCol w:w="1785"/>
            <w:gridCol w:w="1620"/>
            <w:gridCol w:w="1695"/>
            <w:gridCol w:w="1695"/>
            <w:gridCol w:w="2655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Шаг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Время работы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Время ожидания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В чем потеря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Источник замера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Сбор данных и согласий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Фронт/CRM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не замерено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не замерено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Повторный ввод, неполные согласия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План: выгрузка CRM за 6 мес.; владелец - розничный бизнес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Антифрод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Антифрод-</w:t>
            </w:r>
          </w:p>
          <w:p w:rsidR="00000000" w:rsidDel="00000000" w:rsidP="00000000" w:rsidRDefault="00000000" w:rsidRPr="00000000" w14:paraId="00000030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аналитик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не замерено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не замерено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Очередь ручных проверок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План: очередь антифрода в ABS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Скоринг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Decision Engine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минуты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не замерено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Модель не видит поведенческих данных экосистемы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План: лог decision engine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Ручная проверка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Риск-аналитик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не замерено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до нескольких часов/дней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Дефицит аналитиков, повторные запросы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План: трекер ручных проверок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Решение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ABS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минуты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не замерено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Нет единого SLA на решение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План: лог ABS</w:t>
            </w:r>
          </w:p>
        </w:tc>
      </w:tr>
    </w:tbl>
    <w:p w:rsidR="00000000" w:rsidDel="00000000" w:rsidP="00000000" w:rsidRDefault="00000000" w:rsidRPr="00000000" w14:paraId="00000047">
      <w:pPr>
        <w:spacing w:after="0" w:before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Вывод: основная потеря - не время счета, а ожидание ручной проверки и неполные данные. Это совпадает с ПР2 №1: дефицит аналитиков и отсутствие поведенческих признаков.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after="0" w:before="200" w:line="276" w:lineRule="auto"/>
        <w:rPr>
          <w:rFonts w:ascii="Arial" w:cs="Arial" w:eastAsia="Arial" w:hAnsi="Arial"/>
          <w:sz w:val="22"/>
          <w:szCs w:val="22"/>
        </w:rPr>
      </w:pPr>
      <w:bookmarkStart w:colFirst="0" w:colLast="0" w:name="_lf91nzc278cl" w:id="6"/>
      <w:bookmarkEnd w:id="6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2.3. Схема «после» - с подсветкой</w:t>
      </w:r>
    </w:p>
    <w:p w:rsidR="00000000" w:rsidDel="00000000" w:rsidP="00000000" w:rsidRDefault="00000000" w:rsidRPr="00000000" w14:paraId="00000049">
      <w:pPr>
        <w:spacing w:after="0" w:before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Пул тот же. Изменения: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before="20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[NEW] Агент подготовки риск-пакета. Собирает доступные признаки, формирует краткое объяснение и список исключений. Не принимает решение.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before="20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[CHANGED] Ручная проверка только исключений. Аналитик смотрит не все заявки, а только те, где агент или модель показали конфликт признаков.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before="20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[NEW] Событие мониторинга модели. При росте доли отказов/просрочки - событие в ITSM.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before="20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[CHANGED] SLA на решение - внутренний service level для пилота.</w:t>
      </w:r>
    </w:p>
    <w:p w:rsidR="00000000" w:rsidDel="00000000" w:rsidP="00000000" w:rsidRDefault="00000000" w:rsidRPr="00000000" w14:paraId="0000004E">
      <w:pPr>
        <w:spacing w:after="0" w:before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Поток после: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before="20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Заявка → CRM.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before="20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Агент собирает пакет признаков и объяснение.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before="20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Антифрод.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before="20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Скоринг-модель с данными экосистемы.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before="20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Риск-аналитик принимает только исключения.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before="20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ABS фиксирует решение.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before="20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Мониторинг дрейфа модели.</w:t>
      </w:r>
    </w:p>
    <w:tbl>
      <w:tblPr>
        <w:tblStyle w:val="Table3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856.4784721058813"/>
        <w:gridCol w:w="3084.5166694588715"/>
        <w:gridCol w:w="3084.5166694588715"/>
        <w:tblGridChange w:id="0">
          <w:tblGrid>
            <w:gridCol w:w="2856.4784721058813"/>
            <w:gridCol w:w="3084.5166694588715"/>
            <w:gridCol w:w="3084.5166694588715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Изменение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Какую потерю убирает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Какую гипотезу обслуживает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Агент готовит риск-пакет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Повторный сбор и ручной ввод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№1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Проверка только исключений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Ожидание в очереди аналитика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№1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Мониторинг дрейфа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Позднее обнаружение деградации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№1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SLA на решение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Нет управляемого времени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№1</w:t>
            </w:r>
          </w:p>
        </w:tc>
      </w:tr>
    </w:tbl>
    <w:p w:rsidR="00000000" w:rsidDel="00000000" w:rsidP="00000000" w:rsidRDefault="00000000" w:rsidRPr="00000000" w14:paraId="00000065">
      <w:pPr>
        <w:pStyle w:val="Heading3"/>
        <w:keepNext w:val="0"/>
        <w:keepLines w:val="0"/>
        <w:spacing w:after="0" w:before="200" w:line="276" w:lineRule="auto"/>
        <w:rPr>
          <w:rFonts w:ascii="Arial" w:cs="Arial" w:eastAsia="Arial" w:hAnsi="Arial"/>
          <w:sz w:val="22"/>
          <w:szCs w:val="22"/>
        </w:rPr>
      </w:pPr>
      <w:bookmarkStart w:colFirst="0" w:colLast="0" w:name="_nunchtb1hdr8" w:id="7"/>
      <w:bookmarkEnd w:id="7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2.4. Практики ITIL 4</w:t>
      </w:r>
    </w:p>
    <w:tbl>
      <w:tblPr>
        <w:tblStyle w:val="Table4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Практика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Почему меняется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Change enablement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Модель и правила скоринга выкатываются как изменение, нужен pipeline и окно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Monitoring and event management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Дрейф модели и рост отказов должны создавать событие, а не выясняться от клиента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Problem management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Повторные ложные отказы и ручные проверки - проблема, а не разовый инцидент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Supplier management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Данные экосистемы и внешние источники - поставщик, нужен контроль качества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Service level management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Появляется внутреннее обещание по сроку решения</w:t>
            </w:r>
          </w:p>
        </w:tc>
      </w:tr>
    </w:tbl>
    <w:p w:rsidR="00000000" w:rsidDel="00000000" w:rsidP="00000000" w:rsidRDefault="00000000" w:rsidRPr="00000000" w14:paraId="00000072">
      <w:pPr>
        <w:pStyle w:val="Heading3"/>
        <w:keepNext w:val="0"/>
        <w:keepLines w:val="0"/>
        <w:spacing w:after="0" w:before="200" w:line="276" w:lineRule="auto"/>
        <w:rPr>
          <w:rFonts w:ascii="Arial" w:cs="Arial" w:eastAsia="Arial" w:hAnsi="Arial"/>
          <w:sz w:val="22"/>
          <w:szCs w:val="22"/>
        </w:rPr>
      </w:pPr>
      <w:bookmarkStart w:colFirst="0" w:colLast="0" w:name="_adyadn8ssbf2" w:id="8"/>
      <w:bookmarkEnd w:id="8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2.5. DORA</w:t>
      </w:r>
    </w:p>
    <w:p w:rsidR="00000000" w:rsidDel="00000000" w:rsidP="00000000" w:rsidRDefault="00000000" w:rsidRPr="00000000" w14:paraId="00000073">
      <w:pPr>
        <w:spacing w:after="0" w:before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Разработка собственная, поэтому DORA нужен. Базовые значения не раскрыты. Как снять:</w:t>
      </w:r>
    </w:p>
    <w:tbl>
      <w:tblPr>
        <w:tblStyle w:val="Table5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312.5548668118618"/>
        <w:gridCol w:w="3564.597084938851"/>
        <w:gridCol w:w="2148.3598592729104"/>
        <w:tblGridChange w:id="0">
          <w:tblGrid>
            <w:gridCol w:w="3312.5548668118618"/>
            <w:gridCol w:w="3564.597084938851"/>
            <w:gridCol w:w="2148.3598592729104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Показатель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Владелец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Частота выкаток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CI/CD, GitLab/Jira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DevOps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Время от коммита до прода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CI/CD + релизный трекер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DevOps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Доля неудачных изменений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Инциденты и откаты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SRE/ИТ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Время восстановления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ITSM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SRE/ИТ</w:t>
            </w:r>
          </w:p>
        </w:tc>
      </w:tr>
    </w:tbl>
    <w:p w:rsidR="00000000" w:rsidDel="00000000" w:rsidP="00000000" w:rsidRDefault="00000000" w:rsidRPr="00000000" w14:paraId="00000083">
      <w:pPr>
        <w:spacing w:after="0" w:before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До замера - реестр допущений, не факт.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after="0" w:before="200" w:line="276" w:lineRule="auto"/>
        <w:rPr>
          <w:rFonts w:ascii="Arial" w:cs="Arial" w:eastAsia="Arial" w:hAnsi="Arial"/>
          <w:sz w:val="22"/>
          <w:szCs w:val="22"/>
        </w:rPr>
      </w:pPr>
      <w:bookmarkStart w:colFirst="0" w:colLast="0" w:name="_2kii7og6rhge" w:id="9"/>
      <w:bookmarkEnd w:id="9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2.6. Место агента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0" w:before="20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Какие шаги уходят агенту: сбор и нормализация признаков, черновик объяснения, сортировка исключений, подготовка карточки для аналитика.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0" w:before="20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Что видит и чем действует: данные заявки, согласия, история в банке, поведенческие признаки экосистемы; права только на чтение и формирование черновика. Граница - не принимает кредитное решение.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0" w:before="20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Кто принимает результат и сколько стоит: риск-аналитик. Приемка - 0,25 FTE аналитика + 0,1 FTE комплаенса ≈ 1,7 млн ₽/год; включено в сопровождение 4,8 млн ₽/год.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0" w:before="20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Что не отдается агенту: финальное кредитное решение, работа с персональными данными без согласия, отказ клиенту, решения с правовыми последствиями.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after="0" w:before="200" w:line="276" w:lineRule="auto"/>
        <w:rPr>
          <w:rFonts w:ascii="Arial" w:cs="Arial" w:eastAsia="Arial" w:hAnsi="Arial"/>
          <w:sz w:val="22"/>
          <w:szCs w:val="22"/>
        </w:rPr>
      </w:pPr>
      <w:bookmarkStart w:colFirst="0" w:colLast="0" w:name="_5awhg77ffbz5" w:id="10"/>
      <w:bookmarkEnd w:id="10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2.7. Эффект</w:t>
      </w:r>
    </w:p>
    <w:p w:rsidR="00000000" w:rsidDel="00000000" w:rsidP="00000000" w:rsidRDefault="00000000" w:rsidRPr="00000000" w14:paraId="0000008A">
      <w:pPr>
        <w:spacing w:after="0" w:before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Эффект считается на принятый результат - снижение винтажной просрочки, а не на число сгенерированных объяснений.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before="20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Gross из ПР2: 0,366–1,145 млрд ₽.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before="20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Сопровождение: 1 FTE = 4,8 млн ₽/год.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before="20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Net: 0,361–1,140 млрд ₽.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before="20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Приемка входит в эту стоимость; отдельно не добавляется.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after="0" w:before="200" w:line="276" w:lineRule="auto"/>
        <w:rPr>
          <w:rFonts w:ascii="Arial" w:cs="Arial" w:eastAsia="Arial" w:hAnsi="Arial"/>
          <w:sz w:val="22"/>
          <w:szCs w:val="22"/>
        </w:rPr>
      </w:pPr>
      <w:bookmarkStart w:colFirst="0" w:colLast="0" w:name="_kps195t6c3cc" w:id="11"/>
      <w:bookmarkEnd w:id="11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2.8. Trade-off</w:t>
      </w:r>
    </w:p>
    <w:p w:rsidR="00000000" w:rsidDel="00000000" w:rsidP="00000000" w:rsidRDefault="00000000" w:rsidRPr="00000000" w14:paraId="00000090">
      <w:pPr>
        <w:spacing w:after="0" w:before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Скорость против контроля: проверка только исключений ускоряет решение, но повышает цену ошибки, если исключения описаны плохо. Агент снижает рутину, но хуже работает на «тонких» клиентах и самозанятых. Автоматизация уменьшает гибкость в нетиповых случаях. Поэтому нужен human override и выборка для проверки.</w:t>
      </w:r>
    </w:p>
    <w:p w:rsidR="00000000" w:rsidDel="00000000" w:rsidP="00000000" w:rsidRDefault="00000000" w:rsidRPr="00000000" w14:paraId="00000091">
      <w:pPr>
        <w:spacing w:after="0" w:before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0" w:before="200" w:line="276" w:lineRule="auto"/>
        <w:rPr>
          <w:rFonts w:ascii="Arial" w:cs="Arial" w:eastAsia="Arial" w:hAnsi="Arial"/>
          <w:sz w:val="22"/>
          <w:szCs w:val="22"/>
        </w:rPr>
      </w:pPr>
      <w:bookmarkStart w:colFirst="0" w:colLast="0" w:name="_ypxlqeucdmcn" w:id="12"/>
      <w:bookmarkEnd w:id="12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 Процесс 2: раннее взыскание 1–30 дней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after="0" w:before="200" w:line="276" w:lineRule="auto"/>
        <w:rPr>
          <w:rFonts w:ascii="Arial" w:cs="Arial" w:eastAsia="Arial" w:hAnsi="Arial"/>
          <w:sz w:val="22"/>
          <w:szCs w:val="22"/>
        </w:rPr>
      </w:pPr>
      <w:bookmarkStart w:colFirst="0" w:colLast="0" w:name="_6q894frg3v9r" w:id="13"/>
      <w:bookmarkEnd w:id="13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3.1. Схема «до»</w:t>
      </w:r>
    </w:p>
    <w:p w:rsidR="00000000" w:rsidDel="00000000" w:rsidP="00000000" w:rsidRDefault="00000000" w:rsidRPr="00000000" w14:paraId="00000094">
      <w:pPr>
        <w:spacing w:after="0" w:before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Пул: ABS/CRM - Коллекшн-аналитик - Колл-центр - Клиент - Юрист/реструктуризация.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0" w:before="20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ABS фиксирует просрочку 1–30 дней.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0" w:before="20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Коллекшн-аналитик вручную формирует список обзвона.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0" w:before="20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Колл-центр звонит.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spacing w:after="0" w:before="20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Клиент обещает платеж.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spacing w:after="0" w:before="20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Если не платит - передача на следующую стадию.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spacing w:after="0" w:before="20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Реструктуризация - вручную через юриста/андеррайтера.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after="0" w:before="200" w:line="276" w:lineRule="auto"/>
        <w:rPr>
          <w:rFonts w:ascii="Arial" w:cs="Arial" w:eastAsia="Arial" w:hAnsi="Arial"/>
          <w:sz w:val="22"/>
          <w:szCs w:val="22"/>
        </w:rPr>
      </w:pPr>
      <w:bookmarkStart w:colFirst="0" w:colLast="0" w:name="_glqos8qhxna4" w:id="14"/>
      <w:bookmarkEnd w:id="14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3.2. Таблица потерь «до»</w:t>
      </w:r>
    </w:p>
    <w:tbl>
      <w:tblPr>
        <w:tblStyle w:val="Table6"/>
        <w:tblW w:w="11055.0" w:type="dxa"/>
        <w:jc w:val="left"/>
        <w:tblInd w:w="-11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45"/>
        <w:gridCol w:w="1725"/>
        <w:gridCol w:w="1695"/>
        <w:gridCol w:w="1770"/>
        <w:gridCol w:w="1650"/>
        <w:gridCol w:w="2370"/>
        <w:tblGridChange w:id="0">
          <w:tblGrid>
            <w:gridCol w:w="1845"/>
            <w:gridCol w:w="1725"/>
            <w:gridCol w:w="1695"/>
            <w:gridCol w:w="1770"/>
            <w:gridCol w:w="1650"/>
            <w:gridCol w:w="237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Шаг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Время работы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Время ожидания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В чем потеря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Источник замера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Формирование списка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Коллекшн-аналитик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не замерено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ежедневно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Ручная приоритизация, не учитывает риск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План: выгрузка CRM за 6 мес.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Обзвон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Колл-центр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не замерено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до нескольких дней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Очередь, пропущенные контакты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План: лог телефонии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Обещание платежа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Колл-центр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не замерено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до даты платежа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Нет цифрового следа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План: CRM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Реструктуризация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Юрист/андеррайтер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не замерено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дни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Ручные шаги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План: CRM/ABS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Эскалация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Коллекшн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не замерено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не замерено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Позднее реагирование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План: отчет по roll-rate</w:t>
            </w:r>
          </w:p>
        </w:tc>
      </w:tr>
    </w:tbl>
    <w:p w:rsidR="00000000" w:rsidDel="00000000" w:rsidP="00000000" w:rsidRDefault="00000000" w:rsidRPr="00000000" w14:paraId="000000C0">
      <w:pPr>
        <w:pStyle w:val="Heading3"/>
        <w:keepNext w:val="0"/>
        <w:keepLines w:val="0"/>
        <w:spacing w:after="0" w:before="200" w:line="276" w:lineRule="auto"/>
        <w:rPr>
          <w:rFonts w:ascii="Arial" w:cs="Arial" w:eastAsia="Arial" w:hAnsi="Arial"/>
          <w:sz w:val="22"/>
          <w:szCs w:val="22"/>
        </w:rPr>
      </w:pPr>
      <w:bookmarkStart w:colFirst="0" w:colLast="0" w:name="_wo7ybvbpcsxc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after="0" w:before="200" w:line="276" w:lineRule="auto"/>
        <w:rPr>
          <w:rFonts w:ascii="Arial" w:cs="Arial" w:eastAsia="Arial" w:hAnsi="Arial"/>
          <w:sz w:val="22"/>
          <w:szCs w:val="22"/>
        </w:rPr>
      </w:pPr>
      <w:bookmarkStart w:colFirst="0" w:colLast="0" w:name="_wh31kz16mqi1" w:id="16"/>
      <w:bookmarkEnd w:id="16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3.3. Схема «после»</w:t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spacing w:after="0" w:before="20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[NEW] Агент раннего взыскания. По событию из ABS выбирает сценарий: push/чат, голосовой бот, предложение реструктуризации. Формирует черновик сообщения и приоритет.</w:t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spacing w:after="0" w:before="20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[CHANGED] Нет ручного списка обзвона. Список формируется событием и агентом, аналитик проверяет исключения.</w:t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spacing w:after="0" w:before="20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[NEW] Реструктуризация в один клик для типовых случаев.</w:t>
      </w:r>
    </w:p>
    <w:p w:rsidR="00000000" w:rsidDel="00000000" w:rsidP="00000000" w:rsidRDefault="00000000" w:rsidRPr="00000000" w14:paraId="000000C5">
      <w:pPr>
        <w:numPr>
          <w:ilvl w:val="0"/>
          <w:numId w:val="8"/>
        </w:numPr>
        <w:spacing w:after="0" w:before="20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[CHANGED] Контроль 230-ФЗ - частота контактов и каналы ограничены правилами.</w:t>
      </w:r>
    </w:p>
    <w:p w:rsidR="00000000" w:rsidDel="00000000" w:rsidP="00000000" w:rsidRDefault="00000000" w:rsidRPr="00000000" w14:paraId="000000C6">
      <w:pPr>
        <w:numPr>
          <w:ilvl w:val="0"/>
          <w:numId w:val="8"/>
        </w:numPr>
        <w:spacing w:after="0" w:before="20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[NEW] Возврат результата в CRM/ABS - платеж или отказ.</w:t>
      </w:r>
    </w:p>
    <w:tbl>
      <w:tblPr>
        <w:tblStyle w:val="Table7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390"/>
        <w:gridCol w:w="3450"/>
        <w:gridCol w:w="2160"/>
        <w:tblGridChange w:id="0">
          <w:tblGrid>
            <w:gridCol w:w="3390"/>
            <w:gridCol w:w="3450"/>
            <w:gridCol w:w="216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Изменение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Какую потерю убирает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Гипотеза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Агент выбирает сценарий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Ручная приоритизация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№5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Цифровой канал вместо обзвона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Ожидание контакта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№5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Реструктуризация в один клик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Ручные шаги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№5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Контроль 230-ФЗ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Риск нарушения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№5</w:t>
            </w:r>
          </w:p>
        </w:tc>
      </w:tr>
    </w:tbl>
    <w:p w:rsidR="00000000" w:rsidDel="00000000" w:rsidP="00000000" w:rsidRDefault="00000000" w:rsidRPr="00000000" w14:paraId="000000D6">
      <w:pPr>
        <w:pStyle w:val="Heading3"/>
        <w:keepNext w:val="0"/>
        <w:keepLines w:val="0"/>
        <w:spacing w:after="0" w:before="200" w:line="276" w:lineRule="auto"/>
        <w:rPr>
          <w:rFonts w:ascii="Arial" w:cs="Arial" w:eastAsia="Arial" w:hAnsi="Arial"/>
          <w:sz w:val="22"/>
          <w:szCs w:val="22"/>
        </w:rPr>
      </w:pPr>
      <w:bookmarkStart w:colFirst="0" w:colLast="0" w:name="_qjt4w8uciskp" w:id="17"/>
      <w:bookmarkEnd w:id="17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3.4. Практики ITIL 4</w:t>
      </w:r>
    </w:p>
    <w:tbl>
      <w:tblPr>
        <w:tblStyle w:val="Table8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Практика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Почему меняется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Service request management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Реструктуризация становится запросом на обслуживание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Incident management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Повторная просрочка и сбой канала - инцидент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Problem management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Повторяющиеся причины перехода в 90+ - проблема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Monitoring and event management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Событие платежа/просрочки запускает сценарий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Supplier management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SMS/push/голосовой бот - внешние каналы</w:t>
            </w:r>
          </w:p>
        </w:tc>
      </w:tr>
    </w:tbl>
    <w:p w:rsidR="00000000" w:rsidDel="00000000" w:rsidP="00000000" w:rsidRDefault="00000000" w:rsidRPr="00000000" w14:paraId="000000E3">
      <w:pPr>
        <w:pStyle w:val="Heading3"/>
        <w:keepNext w:val="0"/>
        <w:keepLines w:val="0"/>
        <w:spacing w:after="0" w:before="200" w:line="276" w:lineRule="auto"/>
        <w:rPr>
          <w:rFonts w:ascii="Arial" w:cs="Arial" w:eastAsia="Arial" w:hAnsi="Arial"/>
          <w:sz w:val="22"/>
          <w:szCs w:val="22"/>
        </w:rPr>
      </w:pPr>
      <w:bookmarkStart w:colFirst="0" w:colLast="0" w:name="_fk1uqfohc3af" w:id="18"/>
      <w:bookmarkEnd w:id="18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3.5. DORA</w:t>
      </w:r>
    </w:p>
    <w:p w:rsidR="00000000" w:rsidDel="00000000" w:rsidP="00000000" w:rsidRDefault="00000000" w:rsidRPr="00000000" w14:paraId="000000E4">
      <w:pPr>
        <w:spacing w:after="0" w:before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Процесс использует цифровые сценарии, но DORA в первую очередь для релизов сценариев. Базы нет; снимать так же: частота релизов сценариев, lead time, доля неудачных, MTTR.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after="0" w:before="200" w:line="276" w:lineRule="auto"/>
        <w:rPr>
          <w:rFonts w:ascii="Arial" w:cs="Arial" w:eastAsia="Arial" w:hAnsi="Arial"/>
          <w:sz w:val="22"/>
          <w:szCs w:val="22"/>
        </w:rPr>
      </w:pPr>
      <w:bookmarkStart w:colFirst="0" w:colLast="0" w:name="_2ko8s9ygswvq" w:id="19"/>
      <w:bookmarkEnd w:id="19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3.6. Место агента</w:t>
      </w:r>
    </w:p>
    <w:p w:rsidR="00000000" w:rsidDel="00000000" w:rsidP="00000000" w:rsidRDefault="00000000" w:rsidRPr="00000000" w14:paraId="000000E6">
      <w:pPr>
        <w:numPr>
          <w:ilvl w:val="0"/>
          <w:numId w:val="10"/>
        </w:numPr>
        <w:spacing w:after="0" w:before="20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Шаги агенту: приоритизация кейсов, черновик сообщения, выбор канала, типовое предложение реструктуризации.</w:t>
      </w:r>
    </w:p>
    <w:p w:rsidR="00000000" w:rsidDel="00000000" w:rsidP="00000000" w:rsidRDefault="00000000" w:rsidRPr="00000000" w14:paraId="000000E7">
      <w:pPr>
        <w:numPr>
          <w:ilvl w:val="0"/>
          <w:numId w:val="10"/>
        </w:numPr>
        <w:spacing w:after="0" w:before="20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Что видит и чем действует: история платежей, сумма, дни просрочки, согласия; права - отправка сообщения и предложение типового сценария. Граница - не меняет условия договора без человека.</w:t>
      </w:r>
    </w:p>
    <w:p w:rsidR="00000000" w:rsidDel="00000000" w:rsidP="00000000" w:rsidRDefault="00000000" w:rsidRPr="00000000" w14:paraId="000000E8">
      <w:pPr>
        <w:numPr>
          <w:ilvl w:val="0"/>
          <w:numId w:val="10"/>
        </w:numPr>
        <w:spacing w:after="0" w:before="20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Кто принимает результат: коллекшн-аналитик. Приемка - 0,5 FTE + выборочная проверка 5% коммуникаций ≈ 3,9 млн ₽/год; включено в сопровождение.</w:t>
      </w:r>
    </w:p>
    <w:p w:rsidR="00000000" w:rsidDel="00000000" w:rsidP="00000000" w:rsidRDefault="00000000" w:rsidRPr="00000000" w14:paraId="000000E9">
      <w:pPr>
        <w:numPr>
          <w:ilvl w:val="0"/>
          <w:numId w:val="10"/>
        </w:numPr>
        <w:spacing w:after="0" w:before="20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Что не отдается агенту: списание долга, судебные действия, работа с уязвимыми клиентами, персональные данные без согласия.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after="0" w:before="200" w:line="276" w:lineRule="auto"/>
        <w:rPr>
          <w:rFonts w:ascii="Arial" w:cs="Arial" w:eastAsia="Arial" w:hAnsi="Arial"/>
          <w:sz w:val="22"/>
          <w:szCs w:val="22"/>
        </w:rPr>
      </w:pPr>
      <w:bookmarkStart w:colFirst="0" w:colLast="0" w:name="_7rj80alkimxm" w:id="20"/>
      <w:bookmarkEnd w:id="20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3.7. Эффект</w:t>
      </w:r>
    </w:p>
    <w:p w:rsidR="00000000" w:rsidDel="00000000" w:rsidP="00000000" w:rsidRDefault="00000000" w:rsidRPr="00000000" w14:paraId="000000EB">
      <w:pPr>
        <w:numPr>
          <w:ilvl w:val="0"/>
          <w:numId w:val="5"/>
        </w:numPr>
        <w:spacing w:after="0" w:before="20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Gross из ПР2: 0,183–0,687 млрд ₽.</w:t>
      </w:r>
    </w:p>
    <w:p w:rsidR="00000000" w:rsidDel="00000000" w:rsidP="00000000" w:rsidRDefault="00000000" w:rsidRPr="00000000" w14:paraId="000000EC">
      <w:pPr>
        <w:numPr>
          <w:ilvl w:val="0"/>
          <w:numId w:val="5"/>
        </w:numPr>
        <w:spacing w:after="0" w:before="20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Сопровождение: 0,5 FTE + каналы 1,5 млн ₽ = 3,9 млн ₽/год.</w:t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spacing w:after="0" w:before="20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Net: 0,179–0,683 млрд ₽.</w:t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spacing w:after="0" w:before="20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Принятый результат - платеж или подписанная реструктуризация, а не число отправленных сообщений.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after="0" w:before="200" w:line="276" w:lineRule="auto"/>
        <w:rPr>
          <w:rFonts w:ascii="Arial" w:cs="Arial" w:eastAsia="Arial" w:hAnsi="Arial"/>
          <w:sz w:val="22"/>
          <w:szCs w:val="22"/>
        </w:rPr>
      </w:pPr>
      <w:bookmarkStart w:colFirst="0" w:colLast="0" w:name="_eg1rem50gz11" w:id="21"/>
      <w:bookmarkEnd w:id="21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3.8. Trade-off</w:t>
      </w:r>
    </w:p>
    <w:p w:rsidR="00000000" w:rsidDel="00000000" w:rsidP="00000000" w:rsidRDefault="00000000" w:rsidRPr="00000000" w14:paraId="000000F0">
      <w:pPr>
        <w:spacing w:after="0" w:before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Экономия против устойчивости: бот дешевле обзвона, но хуже в сложных жизненных ситуациях. Скорость против контроля: цифровое реструктурирование быстрее, но требует проверки на соответствие 230-ФЗ и защиты уязвимых клиентов. Автоматизация против гибкости: типовые сценарии не покрывают нетиповые случаи, поэтому нужна эскалация человеку.</w:t>
      </w:r>
    </w:p>
    <w:p w:rsidR="00000000" w:rsidDel="00000000" w:rsidP="00000000" w:rsidRDefault="00000000" w:rsidRPr="00000000" w14:paraId="000000F1">
      <w:pPr>
        <w:spacing w:after="0" w:before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0" w:before="200" w:line="276" w:lineRule="auto"/>
        <w:rPr>
          <w:rFonts w:ascii="Arial" w:cs="Arial" w:eastAsia="Arial" w:hAnsi="Arial"/>
          <w:sz w:val="22"/>
          <w:szCs w:val="22"/>
        </w:rPr>
      </w:pPr>
      <w:bookmarkStart w:colFirst="0" w:colLast="0" w:name="_ry1e25xmm1ak" w:id="22"/>
      <w:bookmarkEnd w:id="22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 Сводка по ПР3</w:t>
      </w:r>
    </w:p>
    <w:tbl>
      <w:tblPr>
        <w:tblStyle w:val="Table9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578.452738250768"/>
        <w:gridCol w:w="1335.6138554429576"/>
        <w:gridCol w:w="2226.0230924049297"/>
        <w:gridCol w:w="1821.2916210585786"/>
        <w:gridCol w:w="2064.130503866389"/>
        <w:tblGridChange w:id="0">
          <w:tblGrid>
            <w:gridCol w:w="1578.452738250768"/>
            <w:gridCol w:w="1335.6138554429576"/>
            <w:gridCol w:w="2226.0230924049297"/>
            <w:gridCol w:w="1821.2916210585786"/>
            <w:gridCol w:w="2064.130503866389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Процесс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Гипотеза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Что меняется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Эффект 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Что ухудшилось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Скоринг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№1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Агент готовит риск-пакет, человек проверяет исключения, мониторинг дрейфа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0,361–1,140 млрд ₽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Риск ложных исключений, хуже на «тонких» клиентах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Раннее взыскание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№5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Агент выбирает сценарий, цифровой канал, реструктуризация в один клик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0,179–0,683 млрд ₽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Риск 230-ФЗ, меньше гибкости в сложных случаях</w:t>
            </w:r>
          </w:p>
        </w:tc>
      </w:tr>
    </w:tbl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0" w:before="200" w:line="276" w:lineRule="auto"/>
        <w:rPr>
          <w:rFonts w:ascii="Arial" w:cs="Arial" w:eastAsia="Arial" w:hAnsi="Arial"/>
          <w:sz w:val="22"/>
          <w:szCs w:val="22"/>
        </w:rPr>
      </w:pPr>
      <w:bookmarkStart w:colFirst="0" w:colLast="0" w:name="_igpxx5pcnct6" w:id="23"/>
      <w:bookmarkEnd w:id="23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5. Реестр допущений ПР3</w:t>
      </w:r>
    </w:p>
    <w:tbl>
      <w:tblPr>
        <w:tblStyle w:val="Table10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377.5781185246583"/>
        <w:gridCol w:w="2612.648155822628"/>
        <w:gridCol w:w="2612.648155822628"/>
        <w:gridCol w:w="2422.637380853709"/>
        <w:tblGridChange w:id="0">
          <w:tblGrid>
            <w:gridCol w:w="1377.5781185246583"/>
            <w:gridCol w:w="2612.648155822628"/>
            <w:gridCol w:w="2612.648155822628"/>
            <w:gridCol w:w="2422.637380853709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Допущение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Основание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Как проверить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Время шагов «до» не замерено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Нет внутреннего доступа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Выгрузка ABS/CRM/телефонии за 6 мес.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Срок согласования ≈ 6 недель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Оценка ПР2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Трекер согласований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Roll-rate 1–30 → 90+ не раскрыт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Нет публичных данных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История просрочек по дням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Приемка агенту в скоринге 0,35 FTE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Оценка по ролям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Хронометраж в пилоте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Приемка агенту во взыскании 0,5 FTE + 5% выборка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Оценка по ролям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Пилот, контроль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Ставка 0,4 млн ₽/чел.-мес.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Нижняя оценка по открытым вакансиям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Уточнить у HR/финансов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DORA-базы нет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Публично не раскрыты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CI/CD и ITSM</w:t>
            </w:r>
          </w:p>
        </w:tc>
      </w:tr>
    </w:tbl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0" w:before="200" w:line="276" w:lineRule="auto"/>
        <w:rPr>
          <w:rFonts w:ascii="Arial" w:cs="Arial" w:eastAsia="Arial" w:hAnsi="Arial"/>
          <w:sz w:val="22"/>
          <w:szCs w:val="22"/>
        </w:rPr>
      </w:pPr>
      <w:bookmarkStart w:colFirst="0" w:colLast="0" w:name="_acum6tsq7v7h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0" w:before="200" w:line="276" w:lineRule="auto"/>
        <w:rPr>
          <w:rFonts w:ascii="Arial" w:cs="Arial" w:eastAsia="Arial" w:hAnsi="Arial"/>
          <w:sz w:val="22"/>
          <w:szCs w:val="22"/>
        </w:rPr>
      </w:pPr>
      <w:bookmarkStart w:colFirst="0" w:colLast="0" w:name="_gztyejfbdgxg" w:id="25"/>
      <w:bookmarkEnd w:id="25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6. Источники</w:t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spacing w:after="0" w:before="20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МТС Банк, пресс-релиз по МСФО 2025: </w:t>
      </w:r>
      <w:hyperlink r:id="rId6">
        <w:r w:rsidDel="00000000" w:rsidR="00000000" w:rsidRPr="00000000">
          <w:rPr>
            <w:rFonts w:ascii="Arial" w:cs="Arial" w:eastAsia="Arial" w:hAnsi="Arial"/>
            <w:sz w:val="22"/>
            <w:szCs w:val="22"/>
            <w:rtl w:val="0"/>
          </w:rPr>
          <w:t xml:space="preserve">https://www.mtsbank.ru/o-banke/novosti/detail/1151329/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spacing w:after="0" w:before="20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МТС Банк, стратегия 2025–2028: </w:t>
      </w:r>
      <w:hyperlink r:id="rId7">
        <w:r w:rsidDel="00000000" w:rsidR="00000000" w:rsidRPr="00000000">
          <w:rPr>
            <w:rFonts w:ascii="Arial" w:cs="Arial" w:eastAsia="Arial" w:hAnsi="Arial"/>
            <w:sz w:val="22"/>
            <w:szCs w:val="22"/>
            <w:rtl w:val="0"/>
          </w:rPr>
          <w:t xml:space="preserve">https://www.mtsbank.ru/upload/static/o-banke/raskritie-informacii/TSR-MBNK.pdf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2"/>
        </w:numPr>
        <w:spacing w:after="0" w:before="20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ТАСС, прибыль МТС Банка 2025: </w:t>
      </w:r>
      <w:hyperlink r:id="rId8">
        <w:r w:rsidDel="00000000" w:rsidR="00000000" w:rsidRPr="00000000">
          <w:rPr>
            <w:rFonts w:ascii="Arial" w:cs="Arial" w:eastAsia="Arial" w:hAnsi="Arial"/>
            <w:sz w:val="22"/>
            <w:szCs w:val="22"/>
            <w:rtl w:val="0"/>
          </w:rPr>
          <w:t xml:space="preserve">https://tass.ru/ekonomika/26639765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2"/>
        </w:numPr>
        <w:spacing w:after="0" w:before="20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Ведомости, прибыль МТС Банка: </w:t>
      </w:r>
      <w:hyperlink r:id="rId9">
        <w:r w:rsidDel="00000000" w:rsidR="00000000" w:rsidRPr="00000000">
          <w:rPr>
            <w:rFonts w:ascii="Arial" w:cs="Arial" w:eastAsia="Arial" w:hAnsi="Arial"/>
            <w:sz w:val="22"/>
            <w:szCs w:val="22"/>
            <w:rtl w:val="0"/>
          </w:rPr>
          <w:t xml:space="preserve">https://www.vedomosti.ru/investments/news/2026/07/03/1210924-pribil-mts-banka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2"/>
        </w:numPr>
        <w:spacing w:after="0" w:before="20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Банк России, обзор банковского сектора 2025: </w:t>
      </w:r>
      <w:hyperlink r:id="rId10">
        <w:r w:rsidDel="00000000" w:rsidR="00000000" w:rsidRPr="00000000">
          <w:rPr>
            <w:rFonts w:ascii="Arial" w:cs="Arial" w:eastAsia="Arial" w:hAnsi="Arial"/>
            <w:sz w:val="22"/>
            <w:szCs w:val="22"/>
            <w:rtl w:val="0"/>
          </w:rPr>
          <w:t xml:space="preserve">https://cbr.ru/Collection/Collection/File/59730/analytical_review_bs-2025-4.pdf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2"/>
        </w:numPr>
        <w:spacing w:after="0" w:before="20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Банк России, развитие банковского сектора 2025: </w:t>
      </w:r>
      <w:hyperlink r:id="rId11">
        <w:r w:rsidDel="00000000" w:rsidR="00000000" w:rsidRPr="00000000">
          <w:rPr>
            <w:rFonts w:ascii="Arial" w:cs="Arial" w:eastAsia="Arial" w:hAnsi="Arial"/>
            <w:sz w:val="22"/>
            <w:szCs w:val="22"/>
            <w:rtl w:val="0"/>
          </w:rPr>
          <w:t xml:space="preserve">http://www.cbr.ru/Collection/Collection/File/59619/razv_bs_25_12.pdf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2"/>
        </w:numPr>
        <w:spacing w:after="0" w:before="20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МТС Банк, карьерный сайт ИТ: </w:t>
      </w:r>
      <w:hyperlink r:id="rId12">
        <w:r w:rsidDel="00000000" w:rsidR="00000000" w:rsidRPr="00000000">
          <w:rPr>
            <w:rFonts w:ascii="Arial" w:cs="Arial" w:eastAsia="Arial" w:hAnsi="Arial"/>
            <w:sz w:val="22"/>
            <w:szCs w:val="22"/>
            <w:rtl w:val="0"/>
          </w:rPr>
          <w:t xml:space="preserve">https://job.mtsbank.ru/it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2"/>
        </w:numPr>
        <w:spacing w:after="0" w:before="20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Хабр Карьера, вакансии МТС Банка: </w:t>
      </w:r>
      <w:hyperlink r:id="rId13">
        <w:r w:rsidDel="00000000" w:rsidR="00000000" w:rsidRPr="00000000">
          <w:rPr>
            <w:rFonts w:ascii="Arial" w:cs="Arial" w:eastAsia="Arial" w:hAnsi="Arial"/>
            <w:sz w:val="22"/>
            <w:szCs w:val="22"/>
            <w:rtl w:val="0"/>
          </w:rPr>
          <w:t xml:space="preserve">https://career.habr.com/vacancies/1000081406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2"/>
        </w:numPr>
        <w:spacing w:after="0" w:before="20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Курс, «Отраслевые коридоры целевых показателей», состояние на 05.10.2026.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www.cbr.ru/Collection/Collection/File/59619/razv_bs_25_12.pdf" TargetMode="External"/><Relationship Id="rId10" Type="http://schemas.openxmlformats.org/officeDocument/2006/relationships/hyperlink" Target="https://cbr.ru/Collection/Collection/File/59730/analytical_review_bs-2025-4.pdf" TargetMode="External"/><Relationship Id="rId13" Type="http://schemas.openxmlformats.org/officeDocument/2006/relationships/hyperlink" Target="https://career.habr.com/vacancies/1000081406" TargetMode="External"/><Relationship Id="rId12" Type="http://schemas.openxmlformats.org/officeDocument/2006/relationships/hyperlink" Target="https://job.mtsbank.ru/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edomosti.ru/investments/news/2026/07/03/1210924-pribil-mts-banka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mtsbank.ru/o-banke/novosti/detail/1151329/" TargetMode="External"/><Relationship Id="rId7" Type="http://schemas.openxmlformats.org/officeDocument/2006/relationships/hyperlink" Target="https://www.mtsbank.ru/upload/static/o-banke/raskritie-informacii/TSR-MBNK.pdf" TargetMode="External"/><Relationship Id="rId8" Type="http://schemas.openxmlformats.org/officeDocument/2006/relationships/hyperlink" Target="https://tass.ru/ekonomika/2663976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