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Mira’s Notes on the AGU poster draft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I’ve made edits to the text directly in the version called 1st Draft on the google drive.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Make sure the columns, text, highlighted headlines all line up as well as possible.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Like Daniel mentioned, you may want to restructure it so that you have the main conclusions centered (and large) on the poster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Think about a new title:   Lapse rate variability on the Juneau Icefield  or  Multiple scales of lapse rate variability on the Juneau Icefield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Italicize ‘in situ’</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I’ve made edits to the text in the summary and elsewhere. Take what you like..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As we discussed, you can definitely remove some of the overlap between conclulsions and summary.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Fig 1, i moved some of the text to just become a caption for the figure instead of a bullet point.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Make sure to include acknowledgements of any funding sources that supported you to get to AGU (or to get to JIRP for that matter?)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labels of the figures 2 and 3 are confusing. I”d just call the map + pictures all Figure 2 but then fig 2a, 2b, 2c, 2d.  Please also include a figure caption for Figure 2.  This will also mean changing the figure numbers for the data figures. For this entire Methodology section, you may want to just put a lot of the details in A) into the caption for Figure 2.  And just have the section be A) ibutton temp sensors, B) Historical weather station data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If you cite McNeil and O’Neel, you should add the full reference on the poster. Below acknowledgements for example.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Again, I’d merge summary &amp; conclusions, there is a lot of overlapping content you don’t need to repeat.  You may even be able to sneak in some of the conclusions bullets into the actual figure captions for the data plots.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 acknowledgements, please also thank Jess Badgeley for letting us use her ibutton sensors!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