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77" w:rsidRDefault="00FF31D0">
      <w:r>
        <w:t>Dillon Henry</w:t>
      </w:r>
      <w:r>
        <w:br/>
        <w:t>12.8.2019</w:t>
      </w:r>
      <w:r>
        <w:br/>
      </w:r>
      <w:r w:rsidR="00BD132F">
        <w:t>IS_LT 7301</w:t>
      </w:r>
    </w:p>
    <w:p w:rsidR="00BD132F" w:rsidRPr="00604A78" w:rsidRDefault="00BD132F" w:rsidP="00604A78">
      <w:pPr>
        <w:spacing w:line="480" w:lineRule="auto"/>
        <w:contextualSpacing/>
        <w:jc w:val="center"/>
        <w:rPr>
          <w:b/>
        </w:rPr>
      </w:pPr>
      <w:r w:rsidRPr="00604A78">
        <w:rPr>
          <w:b/>
        </w:rPr>
        <w:t>Information Technology and Marginalized Communities</w:t>
      </w:r>
    </w:p>
    <w:p w:rsidR="00604A78" w:rsidRDefault="00604A78" w:rsidP="00604A78">
      <w:pPr>
        <w:spacing w:line="480" w:lineRule="auto"/>
        <w:contextualSpacing/>
      </w:pPr>
      <w:r>
        <w:tab/>
      </w:r>
    </w:p>
    <w:p w:rsidR="00B5696A" w:rsidRDefault="00604A78" w:rsidP="00604A78">
      <w:pPr>
        <w:spacing w:line="480" w:lineRule="auto"/>
        <w:ind w:firstLine="720"/>
        <w:contextualSpacing/>
      </w:pPr>
      <w:r>
        <w:t>There has been a long overdue push in recent years in areas of academia, culture, and society at large to r</w:t>
      </w:r>
      <w:r w:rsidR="0038045E">
        <w:t>eframe the historically white, E</w:t>
      </w:r>
      <w:r>
        <w:t xml:space="preserve">uro-centric narratives that have dominated discourse. To this end, libraries must adapt to meet the needs of patrons from traditionally marginalized </w:t>
      </w:r>
      <w:r w:rsidR="004F319A">
        <w:t xml:space="preserve">and underrepresented </w:t>
      </w:r>
      <w:r>
        <w:t>communities. This includes</w:t>
      </w:r>
      <w:r w:rsidRPr="00604A78">
        <w:t xml:space="preserve"> </w:t>
      </w:r>
      <w:r>
        <w:t>patrons of differing ethnic and cultural backgrounds, patrons for whom English is not their primary language, patrons of the LGBTQ+ community</w:t>
      </w:r>
      <w:r w:rsidR="004F319A">
        <w:t>, and patrons on the other side of the digital divide</w:t>
      </w:r>
      <w:r>
        <w:t xml:space="preserve">. It is important not only to consider the perspectives contained in the materials in our repositories, but also to realize that due to systemic injustices, individuals from these backgrounds are more likely to face additional hardships in other areas of life, and may seek the library as a refuge. Thus, we must also find </w:t>
      </w:r>
      <w:r w:rsidR="004F319A">
        <w:t>avenues</w:t>
      </w:r>
      <w:r>
        <w:t xml:space="preserve"> to interact with these communities and reach out in ways previously unconsidered.</w:t>
      </w:r>
    </w:p>
    <w:p w:rsidR="00BF1484" w:rsidRDefault="00604A78" w:rsidP="00604A78">
      <w:pPr>
        <w:spacing w:line="480" w:lineRule="auto"/>
        <w:ind w:firstLine="720"/>
        <w:contextualSpacing/>
      </w:pPr>
      <w:r>
        <w:t xml:space="preserve">I wanted to research and write about this topic because </w:t>
      </w:r>
      <w:r w:rsidR="00BF1484">
        <w:t>I am a proponent of equity and equality, and I wanted to better understand what issues plague communities different from my own, and how I can help mitigate them. Efforts to recognize and treat inequality should not fall solely on those from underrepresented communities the</w:t>
      </w:r>
      <w:r w:rsidR="004F319A">
        <w:t xml:space="preserve">mselves, who already deal with </w:t>
      </w:r>
      <w:r w:rsidR="00BF1484">
        <w:t xml:space="preserve">additional hardships on a daily basis. </w:t>
      </w:r>
      <w:r w:rsidR="00BF1484" w:rsidRPr="00BF1484">
        <w:t xml:space="preserve">I will begin my paper by </w:t>
      </w:r>
      <w:r w:rsidR="0038045E">
        <w:t>surveying</w:t>
      </w:r>
      <w:r w:rsidR="00BF1484" w:rsidRPr="00BF1484">
        <w:t xml:space="preserve"> the chall</w:t>
      </w:r>
      <w:r w:rsidR="0038045E">
        <w:t xml:space="preserve">enges different </w:t>
      </w:r>
      <w:proofErr w:type="gramStart"/>
      <w:r w:rsidR="0038045E">
        <w:t>groups</w:t>
      </w:r>
      <w:proofErr w:type="gramEnd"/>
      <w:r w:rsidR="0038045E">
        <w:t xml:space="preserve"> face, along with the</w:t>
      </w:r>
      <w:r w:rsidR="00BF1484" w:rsidRPr="00BF1484">
        <w:t xml:space="preserve"> ways in which libraries struggle to meet the needs of diverse communities. I will follow this with a summary of approaches that some institutions have taken to mitigate these issues, pointing out their strengths and weaknesses. Lastly, I will offer my own thoughts and conclusions that I have reached after synthesizing the research I have </w:t>
      </w:r>
      <w:r w:rsidR="0038045E">
        <w:t>reviewed</w:t>
      </w:r>
      <w:r w:rsidR="00BF1484" w:rsidRPr="00BF1484">
        <w:t>.</w:t>
      </w:r>
    </w:p>
    <w:p w:rsidR="00741AEC" w:rsidRDefault="00CA48A8" w:rsidP="00741AEC">
      <w:pPr>
        <w:spacing w:line="480" w:lineRule="auto"/>
        <w:contextualSpacing/>
        <w:rPr>
          <w:b/>
        </w:rPr>
      </w:pPr>
      <w:r>
        <w:rPr>
          <w:b/>
        </w:rPr>
        <w:lastRenderedPageBreak/>
        <w:t>Challenges</w:t>
      </w:r>
    </w:p>
    <w:p w:rsidR="00CA48A8" w:rsidRDefault="00CA48A8" w:rsidP="00741AEC">
      <w:pPr>
        <w:spacing w:line="480" w:lineRule="auto"/>
        <w:contextualSpacing/>
      </w:pPr>
      <w:r>
        <w:tab/>
        <w:t>The United States has historically fancied itself as a melting pot of different cultures</w:t>
      </w:r>
      <w:r w:rsidR="00627EEB">
        <w:t xml:space="preserve"> and backgrounds</w:t>
      </w:r>
      <w:r>
        <w:t xml:space="preserve">, but to believe this is to ignore systemic exclusion. This is </w:t>
      </w:r>
      <w:r w:rsidR="00627EEB">
        <w:t xml:space="preserve">certainly </w:t>
      </w:r>
      <w:r>
        <w:t>true of those for whom English is not their</w:t>
      </w:r>
      <w:r w:rsidR="00627EEB">
        <w:t xml:space="preserve"> primary language, even when compared to other Anglo-dominant countries, such as Canada and Australia. Canada, for instance, promotes the learning of the minority French language, and sees being bilingual as a boon for employability (</w:t>
      </w:r>
      <w:proofErr w:type="spellStart"/>
      <w:r w:rsidR="00627EEB">
        <w:t>Reznowski</w:t>
      </w:r>
      <w:proofErr w:type="spellEnd"/>
      <w:r w:rsidR="00627EEB">
        <w:t>, 2005). The United States, however, rather than supporting such an immersive approach, tends towards linguistic “submersion,” promoting assimilation to the level of erasure of mother tongues.</w:t>
      </w:r>
      <w:r w:rsidR="00AC0684">
        <w:t xml:space="preserve"> As a result of this attitude of the linguistic dominance of English, “</w:t>
      </w:r>
      <w:r w:rsidR="00AC0684" w:rsidRPr="00AC0684">
        <w:t>many students may experience language loss, shame, negative feelings, and beyond these, may be cheated of the opportunity to become fully bilingual and to use bilingualism to their</w:t>
      </w:r>
      <w:r w:rsidR="00AC0684">
        <w:t xml:space="preserve"> advantage in future employment”</w:t>
      </w:r>
      <w:r w:rsidR="001C4E2D">
        <w:t xml:space="preserve"> (</w:t>
      </w:r>
      <w:proofErr w:type="spellStart"/>
      <w:r w:rsidR="001C4E2D">
        <w:t>Reznowski</w:t>
      </w:r>
      <w:proofErr w:type="spellEnd"/>
      <w:r w:rsidR="00AC0684">
        <w:t>, p. 156).</w:t>
      </w:r>
    </w:p>
    <w:p w:rsidR="00CA48A8" w:rsidRPr="001C4E2D" w:rsidRDefault="001C4E2D" w:rsidP="00741AEC">
      <w:pPr>
        <w:spacing w:line="480" w:lineRule="auto"/>
        <w:contextualSpacing/>
      </w:pPr>
      <w:r>
        <w:tab/>
        <w:t xml:space="preserve">The LGBT+ community can face challenges in finding library resources as well. Even though the vast majority of English literature predominantly reinforces traditional views on gender and sexuality, there is still recoil, particularly from Christian and conservative organizations, toward the inclusion of queer literature in library and academic settings. Literature from this community is frequently the target of book removals and bans. Michael </w:t>
      </w:r>
      <w:proofErr w:type="spellStart"/>
      <w:r>
        <w:t>Willhoite’s</w:t>
      </w:r>
      <w:proofErr w:type="spellEnd"/>
      <w:r>
        <w:t xml:space="preserve"> children’s book </w:t>
      </w:r>
      <w:r>
        <w:rPr>
          <w:i/>
        </w:rPr>
        <w:t>Daddy’s Roommate</w:t>
      </w:r>
      <w:r>
        <w:t xml:space="preserve">, for instance, with the second-most challenged book in the United States from 1990-1999, according to the American Library Association. It can be a struggle for libraries to service this community, in the face of </w:t>
      </w:r>
      <w:r w:rsidR="004F319A">
        <w:t xml:space="preserve">vehement </w:t>
      </w:r>
      <w:r>
        <w:t>(and sometimes even litigious) pushback.</w:t>
      </w:r>
    </w:p>
    <w:p w:rsidR="00337B7C" w:rsidRDefault="00337B7C" w:rsidP="00741AEC">
      <w:pPr>
        <w:spacing w:line="480" w:lineRule="auto"/>
        <w:contextualSpacing/>
      </w:pPr>
      <w:r>
        <w:tab/>
        <w:t>There are additional hardships in providing library and technology access</w:t>
      </w:r>
      <w:r w:rsidR="00DC6476">
        <w:t xml:space="preserve"> when it comes to the digital divide.  </w:t>
      </w:r>
      <w:r w:rsidR="008D1CE1">
        <w:t xml:space="preserve">Real (2014) lays out the following sobering points: Rural libraries tend to </w:t>
      </w:r>
      <w:r w:rsidR="008D1CE1">
        <w:lastRenderedPageBreak/>
        <w:t xml:space="preserve">have fewer staff, fewer ALA accredited librarians, less </w:t>
      </w:r>
      <w:r w:rsidR="0038045E">
        <w:t>funding, and fewer hours of availability</w:t>
      </w:r>
      <w:r w:rsidR="008D1CE1">
        <w:t xml:space="preserve"> than libraries in urban areas. They also tend to be the only providers of free Internet and computer access in rural areas. Their technology is less up-to-date than non-rural libraries. While these problems affect all users of libraries, it is easy to see how understaffing, lack of sufficient training, and lack of adequate resources compound the problems already faced by underrepresented communities.</w:t>
      </w:r>
    </w:p>
    <w:p w:rsidR="002D1CD9" w:rsidRDefault="00DC6476" w:rsidP="002D1CD9">
      <w:pPr>
        <w:spacing w:line="480" w:lineRule="auto"/>
        <w:contextualSpacing/>
      </w:pPr>
      <w:r>
        <w:tab/>
        <w:t>The digital divide, however, is not limited merely to rural areas. Even urban areas like St. Louis see unequal distribution of facilities and resources as they relate to socioeconomic status (Thorne-Wallington, 2013). This is to say, libraries in S</w:t>
      </w:r>
      <w:r w:rsidR="004F319A">
        <w:t>t</w:t>
      </w:r>
      <w:r>
        <w:t>. Louis City and County tend to be located in areas that tend towards the white and affl</w:t>
      </w:r>
      <w:r w:rsidR="009F7536">
        <w:t>uent, and not in predominantly b</w:t>
      </w:r>
      <w:r>
        <w:t xml:space="preserve">lack- or Hispanic-identifying areas or areas with lower household income. </w:t>
      </w:r>
      <w:r w:rsidR="002D1CD9">
        <w:t>Sneed (2014) points to a statistic that of the millions of Americans who lack access to a broadband Internet connection, “the highest numbers have incomes under $50,000, are over the age of forty-five, and are black or Hispanic</w:t>
      </w:r>
      <w:r w:rsidR="0038045E">
        <w:t>”</w:t>
      </w:r>
      <w:r w:rsidR="002D1CD9">
        <w:t xml:space="preserve"> (</w:t>
      </w:r>
      <w:r w:rsidR="0038045E">
        <w:t xml:space="preserve">Sneed, 2014, </w:t>
      </w:r>
      <w:r w:rsidR="002D1CD9">
        <w:t>p. 469).</w:t>
      </w:r>
      <w:r w:rsidR="009F7536">
        <w:t xml:space="preserve"> These individuals, like their rural counterparts, are likely to use the library simply because they do not have free, reliable internet access at home. Thus, even in a metropolitan area like St. Louis, the digital divide hurts those from predominantly black and Hispanic neighborhoods, who do not have Internet at home, and yet are not located near librar</w:t>
      </w:r>
      <w:r w:rsidR="004F319A">
        <w:t xml:space="preserve">ies, which are situated in </w:t>
      </w:r>
      <w:r w:rsidR="009F7536">
        <w:t>neighborhoods</w:t>
      </w:r>
      <w:r w:rsidR="004F319A">
        <w:t xml:space="preserve"> </w:t>
      </w:r>
      <w:r w:rsidR="0038045E">
        <w:t>of</w:t>
      </w:r>
      <w:r w:rsidR="004F319A">
        <w:t xml:space="preserve"> a higher socioeconomic status</w:t>
      </w:r>
      <w:r w:rsidR="009F7536">
        <w:t>.</w:t>
      </w:r>
    </w:p>
    <w:p w:rsidR="00DC6476" w:rsidRDefault="008036B0" w:rsidP="00741AEC">
      <w:pPr>
        <w:spacing w:line="480" w:lineRule="auto"/>
        <w:contextualSpacing/>
      </w:pPr>
      <w:r>
        <w:tab/>
        <w:t>Of course, there is an overarching challenge that subsumes all of the above</w:t>
      </w:r>
      <w:r w:rsidR="009F7536">
        <w:t xml:space="preserve"> issues</w:t>
      </w:r>
      <w:r>
        <w:t xml:space="preserve">. The challenge is that we, as librarians, need to know and understand our communities. </w:t>
      </w:r>
      <w:proofErr w:type="spellStart"/>
      <w:r>
        <w:t>McCleer</w:t>
      </w:r>
      <w:proofErr w:type="spellEnd"/>
      <w:r>
        <w:t xml:space="preserve">, citing </w:t>
      </w:r>
      <w:proofErr w:type="spellStart"/>
      <w:r>
        <w:t>LaFlamme</w:t>
      </w:r>
      <w:proofErr w:type="spellEnd"/>
      <w:r>
        <w:t xml:space="preserve">, makes the apt acknowledgement in reference to communities different from our own: </w:t>
      </w:r>
      <w:r w:rsidRPr="001A7228">
        <w:rPr>
          <w:rFonts w:cs="Times New Roman"/>
        </w:rPr>
        <w:t>“</w:t>
      </w:r>
      <w:r>
        <w:rPr>
          <w:rFonts w:cs="Times New Roman"/>
        </w:rPr>
        <w:t>‘They’</w:t>
      </w:r>
      <w:r w:rsidRPr="001A7228">
        <w:rPr>
          <w:rFonts w:cs="Times New Roman"/>
        </w:rPr>
        <w:t xml:space="preserve"> almost certainly do not want</w:t>
      </w:r>
      <w:r>
        <w:rPr>
          <w:rFonts w:cs="Times New Roman"/>
        </w:rPr>
        <w:t xml:space="preserve"> just the same things that ‘we’</w:t>
      </w:r>
      <w:r w:rsidRPr="001A7228">
        <w:rPr>
          <w:rFonts w:cs="Times New Roman"/>
        </w:rPr>
        <w:t xml:space="preserve"> do, and libraries that miss this point are destined to be, at best, out of touch, and at worst, complicit in the </w:t>
      </w:r>
      <w:r w:rsidRPr="001A7228">
        <w:rPr>
          <w:rFonts w:cs="Times New Roman"/>
        </w:rPr>
        <w:lastRenderedPageBreak/>
        <w:t>invisibility of anything or anyo</w:t>
      </w:r>
      <w:r>
        <w:rPr>
          <w:rFonts w:cs="Times New Roman"/>
        </w:rPr>
        <w:t>ne outside the dominant culture” (</w:t>
      </w:r>
      <w:proofErr w:type="spellStart"/>
      <w:r>
        <w:rPr>
          <w:rFonts w:cs="Times New Roman"/>
        </w:rPr>
        <w:t>McCleer</w:t>
      </w:r>
      <w:proofErr w:type="spellEnd"/>
      <w:r>
        <w:rPr>
          <w:rFonts w:cs="Times New Roman"/>
        </w:rPr>
        <w:t>, 2013, p. 264).</w:t>
      </w:r>
      <w:r w:rsidR="00614352">
        <w:rPr>
          <w:rFonts w:cs="Times New Roman"/>
        </w:rPr>
        <w:t xml:space="preserve"> We must confront our own biases and open our minds to characteristics that may affect the needs of others. </w:t>
      </w:r>
      <w:r w:rsidR="009F7536">
        <w:rPr>
          <w:rFonts w:cs="Times New Roman"/>
        </w:rPr>
        <w:t>This may also mean we need a better understanding of different types of resources and technolog</w:t>
      </w:r>
      <w:r w:rsidR="004F319A">
        <w:rPr>
          <w:rFonts w:cs="Times New Roman"/>
        </w:rPr>
        <w:t>ies</w:t>
      </w:r>
      <w:r w:rsidR="009F7536">
        <w:rPr>
          <w:rFonts w:cs="Times New Roman"/>
        </w:rPr>
        <w:t xml:space="preserve"> and how to use them. Even if we know of a resource of potential import to others, but w</w:t>
      </w:r>
      <w:r w:rsidR="004F319A">
        <w:rPr>
          <w:rFonts w:cs="Times New Roman"/>
        </w:rPr>
        <w:t xml:space="preserve">e have no working knowledge of how to use it </w:t>
      </w:r>
      <w:r w:rsidR="009F7536">
        <w:rPr>
          <w:rFonts w:cs="Times New Roman"/>
        </w:rPr>
        <w:t>ourselves, we are not adequately helping the patron resolve their query.</w:t>
      </w:r>
      <w:r w:rsidR="00280023">
        <w:br/>
      </w:r>
    </w:p>
    <w:p w:rsidR="00CA48A8" w:rsidRDefault="00CA48A8" w:rsidP="00741AEC">
      <w:pPr>
        <w:spacing w:line="480" w:lineRule="auto"/>
        <w:contextualSpacing/>
        <w:rPr>
          <w:b/>
        </w:rPr>
      </w:pPr>
      <w:r>
        <w:rPr>
          <w:b/>
        </w:rPr>
        <w:t>Approaches</w:t>
      </w:r>
      <w:r w:rsidR="00400E34">
        <w:rPr>
          <w:b/>
        </w:rPr>
        <w:t xml:space="preserve"> and Standards</w:t>
      </w:r>
    </w:p>
    <w:p w:rsidR="009B0F52" w:rsidRDefault="009F27D9" w:rsidP="00741AEC">
      <w:pPr>
        <w:spacing w:line="480" w:lineRule="auto"/>
        <w:contextualSpacing/>
        <w:rPr>
          <w:rFonts w:cs="Times New Roman"/>
        </w:rPr>
      </w:pPr>
      <w:r>
        <w:rPr>
          <w:b/>
        </w:rPr>
        <w:tab/>
      </w:r>
      <w:r>
        <w:t xml:space="preserve">Fortunately for librarians, attempting to mitigate these issues does not involve reinventing the wheel. The field of ethnographic research has laid an important foundation for understanding the </w:t>
      </w:r>
      <w:r w:rsidR="003902DE">
        <w:t>experiences</w:t>
      </w:r>
      <w:r>
        <w:t xml:space="preserve"> and needs of communities different from one’s own. In short, ethnography involves observing and interacting</w:t>
      </w:r>
      <w:r w:rsidR="009B0F52">
        <w:t xml:space="preserve"> with people and communities</w:t>
      </w:r>
      <w:r>
        <w:t xml:space="preserve"> respectfully and ethically, without being intrusive or offensive, </w:t>
      </w:r>
      <w:r w:rsidR="009B0F52">
        <w:t xml:space="preserve">and documenting the resulting insights and discoveries. Goodman (2011), citing </w:t>
      </w:r>
      <w:proofErr w:type="spellStart"/>
      <w:r w:rsidR="009B0F52">
        <w:t>LeCompte</w:t>
      </w:r>
      <w:proofErr w:type="spellEnd"/>
      <w:r w:rsidR="009B0F52">
        <w:t xml:space="preserve"> and </w:t>
      </w:r>
      <w:proofErr w:type="spellStart"/>
      <w:r w:rsidR="009B0F52">
        <w:t>Schensul</w:t>
      </w:r>
      <w:proofErr w:type="spellEnd"/>
      <w:r w:rsidR="009B0F52">
        <w:t xml:space="preserve"> (1999), lists the following elements for consideration during research: “</w:t>
      </w:r>
      <w:r w:rsidR="009B0F52" w:rsidRPr="001A7228">
        <w:rPr>
          <w:rFonts w:cs="Times New Roman"/>
        </w:rPr>
        <w:t xml:space="preserve">beliefs, attitudes, perceptions, emotions, verbal and non-verbal means of communication, social networks, behaviors of the group of individuals with friends, family, associates, fellow workers, and colleagues, use of tools, technology and manufacture of materials and artifacts, and </w:t>
      </w:r>
      <w:r w:rsidR="009B0F52">
        <w:rPr>
          <w:rFonts w:cs="Times New Roman"/>
        </w:rPr>
        <w:t>patterned use of space and time” (</w:t>
      </w:r>
      <w:r w:rsidR="0038045E">
        <w:rPr>
          <w:rFonts w:cs="Times New Roman"/>
        </w:rPr>
        <w:t xml:space="preserve">Goodman, 2011, </w:t>
      </w:r>
      <w:r w:rsidR="009B0F52">
        <w:rPr>
          <w:rFonts w:cs="Times New Roman"/>
        </w:rPr>
        <w:t>p. 1).</w:t>
      </w:r>
      <w:r w:rsidR="00EE317A">
        <w:rPr>
          <w:rFonts w:cs="Times New Roman"/>
        </w:rPr>
        <w:t xml:space="preserve"> There are even models libraries can borrow, such as the Community Analysis Research Institute (CARI) model</w:t>
      </w:r>
      <w:r w:rsidR="007D63D9">
        <w:rPr>
          <w:rFonts w:cs="Times New Roman"/>
        </w:rPr>
        <w:t>, which presents a framework for collecting, organizing, and analyzing data about users, communities, and institutions (Greer &amp; Hale, 1982).</w:t>
      </w:r>
      <w:r w:rsidR="00BC2E08">
        <w:rPr>
          <w:rFonts w:cs="Times New Roman"/>
        </w:rPr>
        <w:t xml:space="preserve"> Ethnography can be a collaborative process, asking for input from others rather than attempting to speak for them. It can involve qualitative measurements (recording conversations, listening attentively) and quantitative measurements </w:t>
      </w:r>
      <w:r w:rsidR="00BC2E08">
        <w:rPr>
          <w:rFonts w:cs="Times New Roman"/>
        </w:rPr>
        <w:lastRenderedPageBreak/>
        <w:t>(from surveys, questionnaires, etc.). Goodman cites a University of Rochester study, where the ethnographic surveying of students led to a redesign of the library’s website to better meet patrons’ needs. She is quick to point out however, that it is hard to translate real life experience into a scientific report. Because of this, findings from an ethnographic study (and qualitative results in particular) can be hard to translate into concrete demands and goals.</w:t>
      </w:r>
      <w:r w:rsidR="00614352">
        <w:rPr>
          <w:rFonts w:cs="Times New Roman"/>
        </w:rPr>
        <w:t xml:space="preserve"> Additionally, </w:t>
      </w:r>
      <w:proofErr w:type="spellStart"/>
      <w:r w:rsidR="00614352">
        <w:rPr>
          <w:rFonts w:cs="Times New Roman"/>
        </w:rPr>
        <w:t>McCleer</w:t>
      </w:r>
      <w:proofErr w:type="spellEnd"/>
      <w:r w:rsidR="00614352">
        <w:rPr>
          <w:rFonts w:cs="Times New Roman"/>
        </w:rPr>
        <w:t xml:space="preserve"> (2013) reminds us that we should not attempt to research and analyze every single characteristic of any community we study; the inclusion of a high number of variables can make a study unwieldy, and muddy the utility of the results. </w:t>
      </w:r>
    </w:p>
    <w:p w:rsidR="009B0F52" w:rsidRDefault="009B0F52" w:rsidP="00741AEC">
      <w:pPr>
        <w:spacing w:line="480" w:lineRule="auto"/>
        <w:contextualSpacing/>
        <w:rPr>
          <w:rFonts w:cs="Times New Roman"/>
        </w:rPr>
      </w:pPr>
      <w:r>
        <w:rPr>
          <w:rFonts w:cs="Times New Roman"/>
        </w:rPr>
        <w:tab/>
        <w:t xml:space="preserve">To meet the information needs of those whose native tongue is something other than English, a few approaches have been taken, elaborated upon by </w:t>
      </w:r>
      <w:proofErr w:type="spellStart"/>
      <w:r>
        <w:rPr>
          <w:rFonts w:cs="Times New Roman"/>
        </w:rPr>
        <w:t>Reznowski</w:t>
      </w:r>
      <w:proofErr w:type="spellEnd"/>
      <w:r>
        <w:rPr>
          <w:rFonts w:cs="Times New Roman"/>
        </w:rPr>
        <w:t xml:space="preserve"> (2009). There </w:t>
      </w:r>
      <w:proofErr w:type="gramStart"/>
      <w:r>
        <w:rPr>
          <w:rFonts w:cs="Times New Roman"/>
        </w:rPr>
        <w:t>exists</w:t>
      </w:r>
      <w:proofErr w:type="gramEnd"/>
      <w:r>
        <w:rPr>
          <w:rFonts w:cs="Times New Roman"/>
        </w:rPr>
        <w:t xml:space="preserve"> a small but promising number of bilingual schools in the country, mostly English/Spanish, which provide instruction in both languages. However, </w:t>
      </w:r>
      <w:r w:rsidR="003D6A5A">
        <w:rPr>
          <w:rFonts w:cs="Times New Roman"/>
        </w:rPr>
        <w:t xml:space="preserve">usage in </w:t>
      </w:r>
      <w:r>
        <w:rPr>
          <w:rFonts w:cs="Times New Roman"/>
        </w:rPr>
        <w:t xml:space="preserve">the classroom alone is not enough to elevate the status of </w:t>
      </w:r>
      <w:r w:rsidR="003D6A5A">
        <w:rPr>
          <w:rFonts w:cs="Times New Roman"/>
        </w:rPr>
        <w:t>the mother tongue. Students also need situations in which the language can be used meaningfully, and t</w:t>
      </w:r>
      <w:r>
        <w:rPr>
          <w:rFonts w:cs="Times New Roman"/>
        </w:rPr>
        <w:t xml:space="preserve">his is where libraries can play </w:t>
      </w:r>
      <w:r w:rsidR="003D6A5A">
        <w:rPr>
          <w:rFonts w:cs="Times New Roman"/>
        </w:rPr>
        <w:t>a crucial role</w:t>
      </w:r>
      <w:r>
        <w:rPr>
          <w:rFonts w:cs="Times New Roman"/>
        </w:rPr>
        <w:t xml:space="preserve">. Outreach to families and community organizations </w:t>
      </w:r>
      <w:r w:rsidR="003D6A5A">
        <w:rPr>
          <w:rFonts w:cs="Times New Roman"/>
        </w:rPr>
        <w:t>can be of great utility</w:t>
      </w:r>
      <w:r>
        <w:rPr>
          <w:rFonts w:cs="Times New Roman"/>
        </w:rPr>
        <w:t xml:space="preserve">, </w:t>
      </w:r>
      <w:r w:rsidR="003D6A5A">
        <w:rPr>
          <w:rFonts w:cs="Times New Roman"/>
        </w:rPr>
        <w:t>and such community involvement can be used</w:t>
      </w:r>
      <w:r>
        <w:rPr>
          <w:rFonts w:cs="Times New Roman"/>
        </w:rPr>
        <w:t xml:space="preserve"> to set up and run story time events</w:t>
      </w:r>
      <w:r w:rsidR="003D6A5A">
        <w:rPr>
          <w:rFonts w:cs="Times New Roman"/>
        </w:rPr>
        <w:t xml:space="preserve"> in other languages</w:t>
      </w:r>
      <w:r>
        <w:rPr>
          <w:rFonts w:cs="Times New Roman"/>
        </w:rPr>
        <w:t xml:space="preserve">. Libraries can also include more heritage language media, which does not have to be </w:t>
      </w:r>
      <w:r w:rsidR="003D6A5A">
        <w:rPr>
          <w:rFonts w:cs="Times New Roman"/>
        </w:rPr>
        <w:t xml:space="preserve">simply </w:t>
      </w:r>
      <w:r w:rsidR="00DF67F9">
        <w:rPr>
          <w:rFonts w:cs="Times New Roman"/>
        </w:rPr>
        <w:t>standard literature</w:t>
      </w:r>
      <w:r>
        <w:rPr>
          <w:rFonts w:cs="Times New Roman"/>
        </w:rPr>
        <w:t xml:space="preserve">. Music, DVDs, and comic books are all popular forms of media that can engage patrons in a way that </w:t>
      </w:r>
      <w:r w:rsidR="008A59F7">
        <w:rPr>
          <w:rFonts w:cs="Times New Roman"/>
        </w:rPr>
        <w:t xml:space="preserve">typical </w:t>
      </w:r>
      <w:r>
        <w:rPr>
          <w:rFonts w:cs="Times New Roman"/>
        </w:rPr>
        <w:t>school material does not.</w:t>
      </w:r>
      <w:r w:rsidR="008A59F7">
        <w:rPr>
          <w:rFonts w:cs="Times New Roman"/>
        </w:rPr>
        <w:t xml:space="preserve"> To this end, librarians can also consult ALA guidelines, prepared by RUSA, for the development and promotion of multilingual collections and services, for further guidance.</w:t>
      </w:r>
      <w:r w:rsidR="009700C9">
        <w:rPr>
          <w:rFonts w:cs="Times New Roman"/>
        </w:rPr>
        <w:t xml:space="preserve"> There are also projects like the Electronic </w:t>
      </w:r>
      <w:proofErr w:type="spellStart"/>
      <w:r w:rsidR="009700C9">
        <w:rPr>
          <w:rFonts w:cs="Times New Roman"/>
        </w:rPr>
        <w:t>Metastructure</w:t>
      </w:r>
      <w:proofErr w:type="spellEnd"/>
      <w:r w:rsidR="009700C9">
        <w:rPr>
          <w:rFonts w:cs="Times New Roman"/>
        </w:rPr>
        <w:t xml:space="preserve"> for Endangered Languages Data (E-MELD) and the Open Language Archives Community (OLAC) that seek to collect data and codify metadata and access procedures for materials in a vast array of languages.</w:t>
      </w:r>
    </w:p>
    <w:p w:rsidR="003D6A5A" w:rsidRPr="00BA4571" w:rsidRDefault="003D6A5A" w:rsidP="00741AEC">
      <w:pPr>
        <w:spacing w:line="480" w:lineRule="auto"/>
        <w:contextualSpacing/>
      </w:pPr>
      <w:r>
        <w:rPr>
          <w:rFonts w:cs="Times New Roman"/>
        </w:rPr>
        <w:lastRenderedPageBreak/>
        <w:tab/>
        <w:t xml:space="preserve">Soliciting materials and building special collections can also be an important and empowering way to represent marginalized communities. UMKC is home to GLAMA, the Gay and Lesbian Archive of Mid-America. This archive-within-an-archive houses photographs, newsletters, magazines, books, ephemera, and almost any form of media imaginable to tell stories from the queer communities in the Midwest from </w:t>
      </w:r>
      <w:r w:rsidR="00DF67F9">
        <w:rPr>
          <w:rFonts w:cs="Times New Roman"/>
        </w:rPr>
        <w:t xml:space="preserve">the </w:t>
      </w:r>
      <w:r>
        <w:rPr>
          <w:rFonts w:cs="Times New Roman"/>
        </w:rPr>
        <w:t>pre-Stonewall</w:t>
      </w:r>
      <w:r w:rsidR="00DF67F9">
        <w:rPr>
          <w:rFonts w:cs="Times New Roman"/>
        </w:rPr>
        <w:t xml:space="preserve"> era</w:t>
      </w:r>
      <w:r>
        <w:rPr>
          <w:rFonts w:cs="Times New Roman"/>
        </w:rPr>
        <w:t xml:space="preserve"> to the present. GLAMA is celebrating its ten year anniversary this year, and its continued endurance and reception (an exhibit on Kansas City’s role in the rise of the Gay Rights Movement, </w:t>
      </w:r>
      <w:r w:rsidR="00BA4571">
        <w:rPr>
          <w:rFonts w:cs="Times New Roman"/>
        </w:rPr>
        <w:t xml:space="preserve">compiled </w:t>
      </w:r>
      <w:r>
        <w:rPr>
          <w:rFonts w:cs="Times New Roman"/>
        </w:rPr>
        <w:t xml:space="preserve">using materials from the collection, </w:t>
      </w:r>
      <w:r w:rsidR="00BA4571">
        <w:rPr>
          <w:rFonts w:cs="Times New Roman"/>
        </w:rPr>
        <w:t xml:space="preserve">toured local and state institutions in 2017-2018) highlight the utility of such collections. UMKC’s special collections on prominent jazz artists </w:t>
      </w:r>
      <w:r w:rsidR="004F319A">
        <w:rPr>
          <w:rFonts w:cs="Times New Roman"/>
        </w:rPr>
        <w:t>highlight</w:t>
      </w:r>
      <w:r w:rsidR="00BA4571">
        <w:rPr>
          <w:rFonts w:cs="Times New Roman"/>
        </w:rPr>
        <w:t xml:space="preserve"> </w:t>
      </w:r>
      <w:r w:rsidR="004F319A">
        <w:rPr>
          <w:rFonts w:cs="Times New Roman"/>
        </w:rPr>
        <w:t xml:space="preserve">contributions from </w:t>
      </w:r>
      <w:r w:rsidR="00BA4571">
        <w:rPr>
          <w:rFonts w:cs="Times New Roman"/>
        </w:rPr>
        <w:t>the area’s African American community, and materials from the collection were solicited for Ken Burns’</w:t>
      </w:r>
      <w:r w:rsidR="004F319A">
        <w:rPr>
          <w:rFonts w:cs="Times New Roman"/>
        </w:rPr>
        <w:t xml:space="preserve"> 2001 documentary,</w:t>
      </w:r>
      <w:r w:rsidR="00BA4571">
        <w:rPr>
          <w:rFonts w:cs="Times New Roman"/>
        </w:rPr>
        <w:t xml:space="preserve"> </w:t>
      </w:r>
      <w:r w:rsidR="004F319A">
        <w:rPr>
          <w:rFonts w:cs="Times New Roman"/>
          <w:i/>
        </w:rPr>
        <w:t>Jazz</w:t>
      </w:r>
      <w:r w:rsidR="00BA4571">
        <w:rPr>
          <w:rFonts w:cs="Times New Roman"/>
        </w:rPr>
        <w:t xml:space="preserve">. </w:t>
      </w:r>
      <w:r w:rsidR="004F319A">
        <w:rPr>
          <w:rFonts w:cs="Times New Roman"/>
        </w:rPr>
        <w:t>Thu</w:t>
      </w:r>
      <w:r w:rsidR="00BA4571">
        <w:rPr>
          <w:rFonts w:cs="Times New Roman"/>
        </w:rPr>
        <w:t>s, curating and exhibiting special collections can elevate the status of the marginalized, and promote feelings of pride and empowerment.</w:t>
      </w:r>
    </w:p>
    <w:p w:rsidR="006C0DD1" w:rsidRDefault="0008584F" w:rsidP="00741AEC">
      <w:pPr>
        <w:spacing w:line="480" w:lineRule="auto"/>
        <w:contextualSpacing/>
      </w:pPr>
      <w:r>
        <w:rPr>
          <w:b/>
        </w:rPr>
        <w:tab/>
      </w:r>
      <w:r>
        <w:t>When it comes to the digital divide, both rural and urban, market area assessments can provide quantitative insight into libraries and their communities, as well as find who may not be benefitting from library location</w:t>
      </w:r>
      <w:r w:rsidR="008A45CA">
        <w:t>s</w:t>
      </w:r>
      <w:r>
        <w:t xml:space="preserve"> and services. </w:t>
      </w:r>
      <w:r w:rsidR="002F2EE2">
        <w:t xml:space="preserve">Orange Boy, Inc. (2012), for example, made an assessment of population clusters in the Mid-Continent Public Library area (Clay, Platte, and Jackson counties, Missouri). They wanted to identify library behaviors of users and non-users alike. This is important, as some people from marginalized communities may not often visit libraries simply because they assume (or had a previous </w:t>
      </w:r>
      <w:r w:rsidR="004F319A">
        <w:t xml:space="preserve">negative </w:t>
      </w:r>
      <w:r w:rsidR="002F2EE2">
        <w:t>experience that showed) that libraries may not be able to fulfill their information needs. This project also had the aims of defining desired outcomes for the library; developing a way to r</w:t>
      </w:r>
      <w:r w:rsidR="00CE5832">
        <w:t>each these outcomes; and measuring</w:t>
      </w:r>
      <w:r w:rsidR="002F2EE2">
        <w:t xml:space="preserve"> the</w:t>
      </w:r>
      <w:r w:rsidR="00CE5832">
        <w:t>se</w:t>
      </w:r>
      <w:r w:rsidR="002F2EE2">
        <w:t xml:space="preserve"> outcomes to evaluate progress (</w:t>
      </w:r>
      <w:r w:rsidR="008A45CA">
        <w:t xml:space="preserve">Orange Boy, Inc., </w:t>
      </w:r>
      <w:r w:rsidR="002F2EE2">
        <w:t xml:space="preserve">p. 14). This quantitative </w:t>
      </w:r>
      <w:r w:rsidR="002F2EE2">
        <w:lastRenderedPageBreak/>
        <w:t>approach, while requiring a certain amount of funding and time, could at least help libraries evaluate where certain gaps are, and provide concrete data in an effort to procure funding and other resources.</w:t>
      </w:r>
    </w:p>
    <w:p w:rsidR="006C0DD1" w:rsidRPr="0008584F" w:rsidRDefault="006C0DD1" w:rsidP="00741AEC">
      <w:pPr>
        <w:spacing w:line="480" w:lineRule="auto"/>
        <w:contextualSpacing/>
      </w:pPr>
      <w:r>
        <w:tab/>
        <w:t xml:space="preserve">One should also follow what librarians around the world are doing to reduce the digital divide in developing nations. </w:t>
      </w:r>
      <w:proofErr w:type="spellStart"/>
      <w:r>
        <w:t>Schweik</w:t>
      </w:r>
      <w:proofErr w:type="spellEnd"/>
      <w:r>
        <w:t xml:space="preserve"> (2018) points to the use of flash drive systems called </w:t>
      </w:r>
      <w:proofErr w:type="spellStart"/>
      <w:r>
        <w:t>Keepods</w:t>
      </w:r>
      <w:proofErr w:type="spellEnd"/>
      <w:r>
        <w:t xml:space="preserve"> for students in Malawi who do not have reliable Internet access on their own. They can use these USB sticks at a computer lab to access a server and save content for use on an offline device. </w:t>
      </w:r>
      <w:proofErr w:type="spellStart"/>
      <w:r w:rsidR="008A45CA">
        <w:t>Schweik</w:t>
      </w:r>
      <w:proofErr w:type="spellEnd"/>
      <w:r w:rsidR="008A45CA">
        <w:t xml:space="preserve"> also mentions a problem-</w:t>
      </w:r>
      <w:r>
        <w:t xml:space="preserve">solving workflow involving a requester, searcher, and courier, to overcome potential language barriers. For example, a </w:t>
      </w:r>
      <w:r w:rsidR="00362C2D">
        <w:t>requester</w:t>
      </w:r>
      <w:r>
        <w:t xml:space="preserve"> may have a</w:t>
      </w:r>
      <w:r w:rsidR="00362C2D">
        <w:t>n information need, but not have the search skills or resources to find it</w:t>
      </w:r>
      <w:r>
        <w:t>. They may then tweet their need to a courier (</w:t>
      </w:r>
      <w:r w:rsidR="00362C2D">
        <w:t>such as a partnered library). A searcher from the courier</w:t>
      </w:r>
      <w:r w:rsidR="008A45CA">
        <w:t xml:space="preserve"> institution</w:t>
      </w:r>
      <w:r w:rsidR="00362C2D">
        <w:t xml:space="preserve"> will interpret the information need, find relevant material,</w:t>
      </w:r>
      <w:r w:rsidR="008A45CA">
        <w:t xml:space="preserve"> and</w:t>
      </w:r>
      <w:r w:rsidR="00362C2D">
        <w:t xml:space="preserve"> report back to the courier, who will tweet a reply to the requester. This method of interpreting and relaying information could work </w:t>
      </w:r>
      <w:r w:rsidR="00F2101C">
        <w:t xml:space="preserve">on a local level </w:t>
      </w:r>
      <w:r w:rsidR="00362C2D">
        <w:t>in libraries with multilingual staff.</w:t>
      </w:r>
      <w:r w:rsidR="00F45DA0">
        <w:t xml:space="preserve"> Such a feature could easily be incorporated with the “Ask a Librarian” function found on a growing number of library websites.</w:t>
      </w:r>
      <w:r w:rsidR="00280023">
        <w:br/>
      </w:r>
      <w:r w:rsidR="009F7536">
        <w:tab/>
        <w:t>In any case, however, librarians need better to familiarize themselves with a variety of resources covering a broad spectrum of needs. One can attempt to find workshops and webinars, which a number of o</w:t>
      </w:r>
      <w:r w:rsidR="008A45CA">
        <w:t>rganizations offer, and which are</w:t>
      </w:r>
      <w:r w:rsidR="009F7536">
        <w:t xml:space="preserve"> enumerated on any number of library mailing lists and forums. Those in rural libraries with more limited resources should attempt to reach out to similar institutions and share ideas and approaches, as well as reach out to better-funded institutions. Perhaps these institutions can be advocates for their cause, or offer </w:t>
      </w:r>
      <w:r w:rsidR="004F111C">
        <w:t xml:space="preserve">some other form of </w:t>
      </w:r>
      <w:r w:rsidR="00CE5832">
        <w:t>guidance or assistance</w:t>
      </w:r>
      <w:r w:rsidR="004F111C">
        <w:t xml:space="preserve">. </w:t>
      </w:r>
      <w:r w:rsidR="004F319A">
        <w:br/>
      </w:r>
    </w:p>
    <w:p w:rsidR="00AC0684" w:rsidRDefault="00AC0684" w:rsidP="00741AEC">
      <w:pPr>
        <w:spacing w:line="480" w:lineRule="auto"/>
        <w:contextualSpacing/>
        <w:rPr>
          <w:b/>
        </w:rPr>
      </w:pPr>
      <w:r>
        <w:rPr>
          <w:b/>
        </w:rPr>
        <w:lastRenderedPageBreak/>
        <w:t>Personal Reflections</w:t>
      </w:r>
    </w:p>
    <w:p w:rsidR="00C2616A" w:rsidRDefault="00A60433" w:rsidP="00741AEC">
      <w:pPr>
        <w:spacing w:line="480" w:lineRule="auto"/>
        <w:contextualSpacing/>
      </w:pPr>
      <w:r>
        <w:rPr>
          <w:b/>
        </w:rPr>
        <w:tab/>
      </w:r>
      <w:r w:rsidR="00C2616A">
        <w:t xml:space="preserve">Libraries today struggle in general to keep up with changing technology and needs of patrons, particularly in an age of stagnating budgets, staffing cuts, and inflation of resource costs. Still, we must do what we can to provide fair and equitable service to our communities, and this includes those who </w:t>
      </w:r>
      <w:r w:rsidR="00871936">
        <w:t>have traditionally been marginalized and</w:t>
      </w:r>
      <w:r w:rsidR="00C2616A">
        <w:t xml:space="preserve"> underrepresented</w:t>
      </w:r>
      <w:r w:rsidR="00871936">
        <w:t>.</w:t>
      </w:r>
      <w:r w:rsidR="00DC5F0D">
        <w:t xml:space="preserve"> Unfortunately, these communities face added struggles, including: erasure of non-English language in schools; lack of relevant and interesting materials</w:t>
      </w:r>
      <w:r w:rsidR="00CE5832">
        <w:t xml:space="preserve"> in library collections</w:t>
      </w:r>
      <w:r w:rsidR="00DC5F0D">
        <w:t>, in particular regarding different ethnicities and sexual orientations; and the digital divide, not only between rural and urban areas, but nes</w:t>
      </w:r>
      <w:r w:rsidR="00F71912">
        <w:t>ted within urban areas as well.</w:t>
      </w:r>
    </w:p>
    <w:p w:rsidR="00F71912" w:rsidRPr="00C2616A" w:rsidRDefault="00F71912" w:rsidP="00741AEC">
      <w:pPr>
        <w:spacing w:line="480" w:lineRule="auto"/>
        <w:contextualSpacing/>
      </w:pPr>
      <w:r>
        <w:tab/>
        <w:t>Librarians can perform ethnographic research in a responsible and ethical manner, making sure to listen to and value input from those who come from different backgrounds. Institutions can perform community outreach and host story time events to engage varying groups and peoples. They can solicit and develop special collections, highlighting and elevating contributions from underrepresented communities. They can</w:t>
      </w:r>
      <w:r w:rsidR="0038464B">
        <w:t xml:space="preserve"> perform quantitative assessments of library districts, taking into account users and non-users, to diagnose issues and compile data that can be used as </w:t>
      </w:r>
      <w:r w:rsidR="007B3E0F">
        <w:t>leverage for funding proposals. All of these suggestions merit additional investigation, particularly insofar as implementation is concerned. It is much easier to say that libraries should consider performing a market area assessment than it is to say precisely how that is done: What data will be collected? How will it be collected? H</w:t>
      </w:r>
      <w:r w:rsidR="00FF365B">
        <w:t xml:space="preserve">ow will </w:t>
      </w:r>
      <w:r w:rsidR="00CE5832">
        <w:t>the institution</w:t>
      </w:r>
      <w:r w:rsidR="00605731">
        <w:t xml:space="preserve"> fund this? How does one interpret the</w:t>
      </w:r>
      <w:r w:rsidR="00FF365B">
        <w:t xml:space="preserve"> results? These are only a handful of the near endless questions that could arise in undertaking such a task. The same practical concerns crop up when considering ethnograp</w:t>
      </w:r>
      <w:r w:rsidR="00CE5832">
        <w:t>hic research,</w:t>
      </w:r>
      <w:r w:rsidR="00FF365B">
        <w:t xml:space="preserve"> developing and exhibiting special collections, and starting community outreach initiatives. Each individual effort merits its own extensive investigation.</w:t>
      </w:r>
    </w:p>
    <w:p w:rsidR="00AC0684" w:rsidRPr="008036B0" w:rsidRDefault="008642A9" w:rsidP="008036B0">
      <w:pPr>
        <w:spacing w:line="480" w:lineRule="auto"/>
        <w:ind w:firstLine="720"/>
        <w:contextualSpacing/>
      </w:pPr>
      <w:r>
        <w:lastRenderedPageBreak/>
        <w:t>Performing this research was fruitful and enlightening. While it can be obvious to realize that diff</w:t>
      </w:r>
      <w:r w:rsidR="00605731">
        <w:t>erent communities have differing</w:t>
      </w:r>
      <w:r>
        <w:t xml:space="preserve"> informational and institutional needs, it is not immediately clear what specific </w:t>
      </w:r>
      <w:r w:rsidR="00FF365B">
        <w:t xml:space="preserve">barriers and </w:t>
      </w:r>
      <w:r>
        <w:t xml:space="preserve">challenges exist, and how these challenges affect people (and the institutions that serve them) in </w:t>
      </w:r>
      <w:r w:rsidR="00605731">
        <w:t>various</w:t>
      </w:r>
      <w:r>
        <w:t xml:space="preserve"> ways. And if one does not critically examine the nature and </w:t>
      </w:r>
      <w:r w:rsidR="00605731">
        <w:t>plasticity</w:t>
      </w:r>
      <w:r>
        <w:t xml:space="preserve"> of these issues, one cannot be adequately prepared to proffer advice or recommend solutions.</w:t>
      </w:r>
      <w:r w:rsidR="00C2616A">
        <w:t xml:space="preserve"> </w:t>
      </w:r>
      <w:r w:rsidR="00885636">
        <w:t>Of course, all of t</w:t>
      </w:r>
      <w:r w:rsidR="00556BB4">
        <w:t>he</w:t>
      </w:r>
      <w:r w:rsidR="00885636">
        <w:t xml:space="preserve"> </w:t>
      </w:r>
      <w:r w:rsidR="00556BB4">
        <w:t xml:space="preserve">above </w:t>
      </w:r>
      <w:r w:rsidR="00885636">
        <w:t>solutions</w:t>
      </w:r>
      <w:r w:rsidR="00556BB4">
        <w:t xml:space="preserve"> and suggestions</w:t>
      </w:r>
      <w:r w:rsidR="00885636">
        <w:t xml:space="preserve"> require valuable time and resources, which are </w:t>
      </w:r>
      <w:r w:rsidR="00556BB4">
        <w:t xml:space="preserve">increasingly </w:t>
      </w:r>
      <w:r w:rsidR="00885636">
        <w:t>hard to come by. Still, if we can make even the smallest steps to provide fair, equitable, and meaningful</w:t>
      </w:r>
      <w:r w:rsidR="00556BB4">
        <w:t xml:space="preserve"> access to our materials for</w:t>
      </w:r>
      <w:r w:rsidR="00885636">
        <w:t xml:space="preserve"> traditionally underrepresented, </w:t>
      </w:r>
      <w:r w:rsidR="00556BB4">
        <w:t>marginalized communities, we are obligated to do so. As providers of information services, we have the power at the very least to make a small, positive impact on people’s lives, and we owe it t</w:t>
      </w:r>
      <w:bookmarkStart w:id="0" w:name="_GoBack"/>
      <w:bookmarkEnd w:id="0"/>
      <w:r w:rsidR="00556BB4">
        <w:t>o use this power to the best of our ability.</w:t>
      </w:r>
      <w:r w:rsidR="00AC0684">
        <w:rPr>
          <w:b/>
        </w:rPr>
        <w:br w:type="page"/>
      </w:r>
    </w:p>
    <w:p w:rsidR="00AC0684" w:rsidRPr="004F111C" w:rsidRDefault="00AC0684" w:rsidP="00AC0684">
      <w:pPr>
        <w:spacing w:line="480" w:lineRule="auto"/>
        <w:contextualSpacing/>
        <w:jc w:val="center"/>
        <w:rPr>
          <w:b/>
        </w:rPr>
      </w:pPr>
      <w:r w:rsidRPr="004F111C">
        <w:rPr>
          <w:b/>
        </w:rPr>
        <w:lastRenderedPageBreak/>
        <w:t>References</w:t>
      </w:r>
    </w:p>
    <w:p w:rsidR="00AC0684" w:rsidRDefault="00AC0684" w:rsidP="00AC0684">
      <w:pPr>
        <w:ind w:left="720" w:hanging="720"/>
      </w:pPr>
      <w:proofErr w:type="gramStart"/>
      <w:r>
        <w:t>Goodman, V. D. (2011).</w:t>
      </w:r>
      <w:proofErr w:type="gramEnd"/>
      <w:r>
        <w:t xml:space="preserve"> </w:t>
      </w:r>
      <w:proofErr w:type="gramStart"/>
      <w:r>
        <w:t>Applying ethnographic research methods in library and information settings.</w:t>
      </w:r>
      <w:proofErr w:type="gramEnd"/>
      <w:r>
        <w:t xml:space="preserve"> </w:t>
      </w:r>
      <w:proofErr w:type="spellStart"/>
      <w:r>
        <w:rPr>
          <w:i/>
        </w:rPr>
        <w:t>Libri</w:t>
      </w:r>
      <w:proofErr w:type="spellEnd"/>
      <w:r>
        <w:t>, 61, 1-11.</w:t>
      </w:r>
    </w:p>
    <w:p w:rsidR="007D63D9" w:rsidRPr="007D63D9" w:rsidRDefault="007D63D9" w:rsidP="00AC0684">
      <w:pPr>
        <w:ind w:left="720" w:hanging="720"/>
      </w:pPr>
      <w:proofErr w:type="gramStart"/>
      <w:r>
        <w:t>Greer, R. &amp; Hale, M. (1982).</w:t>
      </w:r>
      <w:proofErr w:type="gramEnd"/>
      <w:r>
        <w:t xml:space="preserve"> </w:t>
      </w:r>
      <w:proofErr w:type="gramStart"/>
      <w:r>
        <w:t>The community analysis process.</w:t>
      </w:r>
      <w:proofErr w:type="gramEnd"/>
      <w:r>
        <w:t xml:space="preserve"> In Robinson-Carter, J. (ed.), </w:t>
      </w:r>
      <w:r>
        <w:rPr>
          <w:i/>
        </w:rPr>
        <w:t>Public Librarianship: A reader</w:t>
      </w:r>
      <w:r>
        <w:t>, (pp. 358-367). Englewood, CO: Libraries Unlimited.</w:t>
      </w:r>
    </w:p>
    <w:p w:rsidR="00AC0684" w:rsidRDefault="00AC0684" w:rsidP="00AC0684">
      <w:pPr>
        <w:ind w:left="720" w:hanging="720"/>
      </w:pPr>
      <w:proofErr w:type="spellStart"/>
      <w:r>
        <w:t>McCleer</w:t>
      </w:r>
      <w:proofErr w:type="spellEnd"/>
      <w:r>
        <w:t xml:space="preserve">, A. (2013). </w:t>
      </w:r>
      <w:proofErr w:type="gramStart"/>
      <w:r>
        <w:t>Knowing communities: a review of community assessment literature.</w:t>
      </w:r>
      <w:proofErr w:type="gramEnd"/>
      <w:r>
        <w:t xml:space="preserve"> </w:t>
      </w:r>
      <w:r>
        <w:rPr>
          <w:i/>
        </w:rPr>
        <w:t>Public Library Quarterly</w:t>
      </w:r>
      <w:r>
        <w:t>, 32(3), 263-274.</w:t>
      </w:r>
    </w:p>
    <w:p w:rsidR="00AC0684" w:rsidRDefault="00AC0684" w:rsidP="00AC0684">
      <w:pPr>
        <w:ind w:left="720" w:hanging="720"/>
      </w:pPr>
      <w:proofErr w:type="spellStart"/>
      <w:r>
        <w:t>OrangeBoy</w:t>
      </w:r>
      <w:proofErr w:type="spellEnd"/>
      <w:r>
        <w:t>, Inc. (2012). Market area assessment: a presentation for mid-continent public library [PowerPoint Slides].</w:t>
      </w:r>
    </w:p>
    <w:p w:rsidR="00AC0684" w:rsidRDefault="00AC0684" w:rsidP="00AC0684">
      <w:pPr>
        <w:ind w:left="720" w:hanging="720"/>
      </w:pPr>
      <w:proofErr w:type="gramStart"/>
      <w:r>
        <w:t>Real, B., et al. (2014).</w:t>
      </w:r>
      <w:proofErr w:type="gramEnd"/>
      <w:r>
        <w:t xml:space="preserve"> Rural public libraries and digital inclusion: issues and challenges. </w:t>
      </w:r>
      <w:r>
        <w:rPr>
          <w:i/>
        </w:rPr>
        <w:t>Information Technology and Libraries</w:t>
      </w:r>
      <w:r>
        <w:t>, 33(1), 6-24.</w:t>
      </w:r>
    </w:p>
    <w:p w:rsidR="00AC0684" w:rsidRDefault="00AC0684" w:rsidP="00AC0684">
      <w:pPr>
        <w:ind w:left="720" w:hanging="720"/>
      </w:pPr>
      <w:proofErr w:type="spellStart"/>
      <w:r>
        <w:t>Reznowski</w:t>
      </w:r>
      <w:proofErr w:type="spellEnd"/>
      <w:r>
        <w:t xml:space="preserve">, G. (2009). American libraries and linguistic diversity: policies, controversies, and ideological fences. </w:t>
      </w:r>
      <w:proofErr w:type="spellStart"/>
      <w:r>
        <w:rPr>
          <w:i/>
        </w:rPr>
        <w:t>Libri</w:t>
      </w:r>
      <w:proofErr w:type="spellEnd"/>
      <w:r>
        <w:t>, 59, 155-165.</w:t>
      </w:r>
    </w:p>
    <w:p w:rsidR="00AC0684" w:rsidRDefault="00AC0684" w:rsidP="00AC0684">
      <w:pPr>
        <w:ind w:left="720" w:hanging="720"/>
      </w:pPr>
      <w:proofErr w:type="spellStart"/>
      <w:r>
        <w:t>Schweik</w:t>
      </w:r>
      <w:proofErr w:type="spellEnd"/>
      <w:r>
        <w:t xml:space="preserve">, C., et al. (2018). World librarians: a peer-to-peer commons for closing the global digital divide. </w:t>
      </w:r>
      <w:r>
        <w:rPr>
          <w:i/>
        </w:rPr>
        <w:t>Journal of Librarianship and Scholarly Communication</w:t>
      </w:r>
      <w:r>
        <w:t>, 6, 1-18.</w:t>
      </w:r>
    </w:p>
    <w:p w:rsidR="00AC0684" w:rsidRDefault="00AC0684" w:rsidP="00AC0684">
      <w:pPr>
        <w:ind w:left="720" w:hanging="720"/>
      </w:pPr>
      <w:r>
        <w:t xml:space="preserve">Snead, J. T. (2014). </w:t>
      </w:r>
      <w:proofErr w:type="gramStart"/>
      <w:r>
        <w:t>Public libraries, evaluation, and e-government.</w:t>
      </w:r>
      <w:proofErr w:type="gramEnd"/>
      <w:r>
        <w:t xml:space="preserve"> </w:t>
      </w:r>
      <w:r>
        <w:rPr>
          <w:i/>
        </w:rPr>
        <w:t>Library Quarterly: Information, Community, Policy</w:t>
      </w:r>
      <w:r>
        <w:t>, 84(4), 467-480.</w:t>
      </w:r>
    </w:p>
    <w:p w:rsidR="00AC0684" w:rsidRDefault="00AC0684" w:rsidP="00AC0684">
      <w:pPr>
        <w:ind w:left="720" w:hanging="720"/>
      </w:pPr>
      <w:r>
        <w:t xml:space="preserve">Thorne-Wallington, E. (2013). Social contexts of new media literacy: mapping libraries. </w:t>
      </w:r>
      <w:r>
        <w:rPr>
          <w:i/>
        </w:rPr>
        <w:t>Information Technology and Libraries</w:t>
      </w:r>
      <w:r>
        <w:t>, 32(4), 53-65.</w:t>
      </w:r>
    </w:p>
    <w:p w:rsidR="00AC0684" w:rsidRPr="00AC0684" w:rsidRDefault="00AC0684" w:rsidP="00AC0684">
      <w:pPr>
        <w:spacing w:line="480" w:lineRule="auto"/>
        <w:ind w:left="720" w:hanging="720"/>
        <w:contextualSpacing/>
      </w:pPr>
    </w:p>
    <w:sectPr w:rsidR="00AC0684" w:rsidRPr="00AC0684" w:rsidSect="00C2456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C41" w:rsidRDefault="00B35C41" w:rsidP="00C24565">
      <w:pPr>
        <w:spacing w:after="0" w:line="240" w:lineRule="auto"/>
      </w:pPr>
      <w:r>
        <w:separator/>
      </w:r>
    </w:p>
  </w:endnote>
  <w:endnote w:type="continuationSeparator" w:id="0">
    <w:p w:rsidR="00B35C41" w:rsidRDefault="00B35C41" w:rsidP="00C2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C41" w:rsidRDefault="00B35C41" w:rsidP="00C24565">
      <w:pPr>
        <w:spacing w:after="0" w:line="240" w:lineRule="auto"/>
      </w:pPr>
      <w:r>
        <w:separator/>
      </w:r>
    </w:p>
  </w:footnote>
  <w:footnote w:type="continuationSeparator" w:id="0">
    <w:p w:rsidR="00B35C41" w:rsidRDefault="00B35C41" w:rsidP="00C24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565" w:rsidRDefault="00C24565">
    <w:pPr>
      <w:pStyle w:val="Header"/>
      <w:jc w:val="right"/>
    </w:pPr>
    <w:r>
      <w:t xml:space="preserve">Dillon Henry          </w:t>
    </w:r>
    <w:sdt>
      <w:sdtPr>
        <w:id w:val="7261154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05731">
          <w:rPr>
            <w:noProof/>
          </w:rPr>
          <w:t>9</w:t>
        </w:r>
        <w:r>
          <w:rPr>
            <w:noProof/>
          </w:rPr>
          <w:fldChar w:fldCharType="end"/>
        </w:r>
      </w:sdtContent>
    </w:sdt>
  </w:p>
  <w:p w:rsidR="00C24565" w:rsidRDefault="00C245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D0"/>
    <w:rsid w:val="00046AA2"/>
    <w:rsid w:val="0008584F"/>
    <w:rsid w:val="001C4E2D"/>
    <w:rsid w:val="00206E84"/>
    <w:rsid w:val="00280023"/>
    <w:rsid w:val="002A1D14"/>
    <w:rsid w:val="002D1CD9"/>
    <w:rsid w:val="002F2EE2"/>
    <w:rsid w:val="00337B7C"/>
    <w:rsid w:val="00362C2D"/>
    <w:rsid w:val="0038045E"/>
    <w:rsid w:val="0038464B"/>
    <w:rsid w:val="003902DE"/>
    <w:rsid w:val="003D6A5A"/>
    <w:rsid w:val="00400E34"/>
    <w:rsid w:val="004F111C"/>
    <w:rsid w:val="004F319A"/>
    <w:rsid w:val="00556BB4"/>
    <w:rsid w:val="00604A78"/>
    <w:rsid w:val="00605731"/>
    <w:rsid w:val="00614352"/>
    <w:rsid w:val="00627EEB"/>
    <w:rsid w:val="006C0DD1"/>
    <w:rsid w:val="00711A1D"/>
    <w:rsid w:val="00727585"/>
    <w:rsid w:val="00741AEC"/>
    <w:rsid w:val="007B3E0F"/>
    <w:rsid w:val="007D63D9"/>
    <w:rsid w:val="008036B0"/>
    <w:rsid w:val="008642A9"/>
    <w:rsid w:val="00871936"/>
    <w:rsid w:val="00885636"/>
    <w:rsid w:val="008A45CA"/>
    <w:rsid w:val="008A59F7"/>
    <w:rsid w:val="008C0363"/>
    <w:rsid w:val="008D1CE1"/>
    <w:rsid w:val="009700C9"/>
    <w:rsid w:val="009B0F52"/>
    <w:rsid w:val="009F27D9"/>
    <w:rsid w:val="009F7536"/>
    <w:rsid w:val="00A509DA"/>
    <w:rsid w:val="00A60433"/>
    <w:rsid w:val="00AC0684"/>
    <w:rsid w:val="00B35C41"/>
    <w:rsid w:val="00B5696A"/>
    <w:rsid w:val="00BA4571"/>
    <w:rsid w:val="00BC2E08"/>
    <w:rsid w:val="00BC7830"/>
    <w:rsid w:val="00BD132F"/>
    <w:rsid w:val="00BF1484"/>
    <w:rsid w:val="00C24565"/>
    <w:rsid w:val="00C2616A"/>
    <w:rsid w:val="00C6646A"/>
    <w:rsid w:val="00CA48A8"/>
    <w:rsid w:val="00CE5832"/>
    <w:rsid w:val="00DC5F0D"/>
    <w:rsid w:val="00DC6476"/>
    <w:rsid w:val="00DF67F9"/>
    <w:rsid w:val="00E80D85"/>
    <w:rsid w:val="00EE317A"/>
    <w:rsid w:val="00F2101C"/>
    <w:rsid w:val="00F45DA0"/>
    <w:rsid w:val="00F71912"/>
    <w:rsid w:val="00FF31D0"/>
    <w:rsid w:val="00FF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65"/>
  </w:style>
  <w:style w:type="paragraph" w:styleId="Footer">
    <w:name w:val="footer"/>
    <w:basedOn w:val="Normal"/>
    <w:link w:val="FooterChar"/>
    <w:uiPriority w:val="99"/>
    <w:unhideWhenUsed/>
    <w:rsid w:val="00C2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65"/>
  </w:style>
  <w:style w:type="paragraph" w:styleId="Footer">
    <w:name w:val="footer"/>
    <w:basedOn w:val="Normal"/>
    <w:link w:val="FooterChar"/>
    <w:uiPriority w:val="99"/>
    <w:unhideWhenUsed/>
    <w:rsid w:val="00C2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Henry</dc:creator>
  <cp:lastModifiedBy>Dillon Henry</cp:lastModifiedBy>
  <cp:revision>33</cp:revision>
  <dcterms:created xsi:type="dcterms:W3CDTF">2019-12-06T18:25:00Z</dcterms:created>
  <dcterms:modified xsi:type="dcterms:W3CDTF">2019-12-07T18:12:00Z</dcterms:modified>
</cp:coreProperties>
</file>