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the complete Audit Report</w:t>
      </w:r>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Indicated by checkbox under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B">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4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F">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5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6">
      <w:pPr>
        <w:spacing w:after="200" w:line="360" w:lineRule="auto"/>
        <w:rPr>
          <w:rFonts w:ascii="Google Sans" w:cs="Google Sans" w:eastAsia="Google Sans" w:hAnsi="Google Sans"/>
          <w:sz w:val="24"/>
          <w:szCs w:val="24"/>
          <w:u w:val="single"/>
        </w:rPr>
      </w:pPr>
      <w:r w:rsidDel="00000000" w:rsidR="00000000" w:rsidRPr="00000000">
        <w:rPr>
          <w:rtl w:val="0"/>
        </w:rPr>
      </w:r>
    </w:p>
    <w:p w:rsidR="00000000" w:rsidDel="00000000" w:rsidP="00000000" w:rsidRDefault="00000000" w:rsidRPr="00000000" w14:paraId="00000067">
      <w:pPr>
        <w:spacing w:after="200" w:line="360" w:lineRule="auto"/>
        <w:rPr>
          <w:rFonts w:ascii="Google Sans" w:cs="Google Sans" w:eastAsia="Google Sans" w:hAnsi="Google Sans"/>
          <w:sz w:val="24"/>
          <w:szCs w:val="24"/>
          <w:u w:val="single"/>
        </w:rPr>
      </w:pPr>
      <w:r w:rsidDel="00000000" w:rsidR="00000000" w:rsidRPr="00000000">
        <w:rPr>
          <w:rtl w:val="0"/>
        </w:rPr>
      </w:r>
    </w:p>
    <w:p w:rsidR="00000000" w:rsidDel="00000000" w:rsidP="00000000" w:rsidRDefault="00000000" w:rsidRPr="00000000" w14:paraId="00000068">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8">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9">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spacing w:after="200" w:line="36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sz w:val="24"/>
          <w:szCs w:val="24"/>
          <w:rtl w:val="0"/>
        </w:rPr>
        <w:t xml:space="preserve">Recommendations: </w:t>
      </w:r>
      <w:r w:rsidDel="00000000" w:rsidR="00000000" w:rsidRPr="00000000">
        <w:rPr>
          <w:rFonts w:ascii="Google Sans" w:cs="Google Sans" w:eastAsia="Google Sans" w:hAnsi="Google Sans"/>
          <w:i w:val="1"/>
          <w:sz w:val="24"/>
          <w:szCs w:val="24"/>
          <w:rtl w:val="0"/>
        </w:rPr>
        <w:t xml:space="preserve">Multiple controls need to be implemented to improve Botium Toys’ security posture and better ensure the confidentiality of sensitive information, including: Least Privilege, disaster recovery plans, password policies, separation of duties, an IDS, ongoing legacy system management, encryption, and a password management system.</w:t>
      </w:r>
    </w:p>
    <w:p w:rsidR="00000000" w:rsidDel="00000000" w:rsidP="00000000" w:rsidRDefault="00000000" w:rsidRPr="00000000" w14:paraId="0000007C">
      <w:pPr>
        <w:spacing w:after="240" w:before="240" w:line="36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p w:rsidR="00000000" w:rsidDel="00000000" w:rsidP="00000000" w:rsidRDefault="00000000" w:rsidRPr="00000000" w14:paraId="0000007D">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sectPr>
      <w:pgSz w:h="15840" w:w="12240" w:orient="portrait"/>
      <w:pgMar w:bottom="1800" w:top="5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github.com/d-pakb/Security-Audit-Botium-Toys/blob/main/Botium-Toys-Scope-goals-and-risk-assessment-report.docx" TargetMode="External"/><Relationship Id="rId7" Type="http://schemas.openxmlformats.org/officeDocument/2006/relationships/hyperlink" Target="https://github.com/d-pakb/Security-Audit-Botium-Toys/blob/main/Control-categories.doc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