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hd w:fill="FFFFFF" w:val="clear"/>
        <w:bidi w:val="0"/>
        <w:jc w:val="left"/>
        <w:rPr/>
      </w:pPr>
      <w:r>
        <w:rPr/>
      </w:r>
    </w:p>
    <w:p>
      <w:pPr>
        <w:pStyle w:val="Heading"/>
        <w:shd w:fill="FFFFFF" w:val="clear"/>
        <w:bidi w:val="0"/>
        <w:jc w:val="left"/>
        <w:rPr/>
      </w:pPr>
      <w:r>
        <w:rPr>
          <w:lang w:val="fr-FR"/>
        </w:rPr>
        <w:t>Le glissement à droite du Conseil national en graphiques.</w:t>
      </w:r>
    </w:p>
    <w:p>
      <w:pPr>
        <w:pStyle w:val="Heading"/>
        <w:shd w:fill="FFFFFF" w:val="clear"/>
        <w:bidi w:val="0"/>
        <w:jc w:val="left"/>
        <w:rPr/>
      </w:pPr>
      <w:r>
        <w:rPr/>
      </w:r>
    </w:p>
    <w:p>
      <w:pPr>
        <w:pStyle w:val="Heading"/>
        <w:shd w:fill="FFFFFF" w:val="clear"/>
        <w:bidi w:val="0"/>
        <w:jc w:val="left"/>
        <w:rPr/>
      </w:pPr>
      <w:r>
        <w:rPr>
          <w:lang w:val="fr-FR"/>
        </w:rPr>
        <w:t>Le glissement à droite du parlement Suisse illustré en chiffres</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lang w:val="fr-FR"/>
        </w:rPr>
        <w:t>“</w:t>
      </w:r>
      <w:r>
        <w:rPr>
          <w:lang w:val="fr-FR"/>
        </w:rPr>
        <w:t>Glissement à droite”, “virage à droite”. Ces titres amplement relayés par</w:t>
      </w:r>
      <w:r>
        <w:rPr/>
        <w:t xml:space="preserve"> </w:t>
      </w:r>
      <w:r>
        <w:rPr>
          <w:lang w:val="fr-FR"/>
        </w:rPr>
        <w:t xml:space="preserve">la presse Suisse et international semblent résumer de manière unanime les élections fédérales. La droite conservatrice et la droite classique font figure de gagnants du scrutin, au dépens du centre politique et surtout des milieux </w:t>
      </w:r>
      <w:r>
        <w:rPr/>
        <w:t>é</w:t>
      </w:r>
      <w:r>
        <w:rPr>
          <w:lang w:val="fr-FR"/>
        </w:rPr>
        <w:t xml:space="preserve">cologiques. Nous avons quantifié ici l’évolution du positionnement politiques des conseillers nationaux et des partis. Au delà des étiquettes politiques, </w:t>
      </w:r>
      <w:r>
        <w:rPr/>
        <w:t xml:space="preserve">ce </w:t>
      </w:r>
      <w:r>
        <w:rPr>
          <w:lang w:val="fr-FR"/>
        </w:rPr>
        <w:t xml:space="preserve">soit disant </w:t>
      </w:r>
      <w:r>
        <w:rPr/>
        <w:t xml:space="preserve">“virage </w:t>
      </w:r>
      <w:r>
        <w:rPr>
          <w:lang w:val="fr-FR"/>
        </w:rPr>
        <w:t>à droite</w:t>
      </w:r>
      <w:r>
        <w:rPr/>
        <w:t xml:space="preserve">” </w:t>
      </w:r>
      <w:r>
        <w:rPr>
          <w:lang w:val="fr-FR"/>
        </w:rPr>
        <w:t>du Conseil national est confirmé par un graphique.</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lang w:val="fr-FR"/>
        </w:rPr>
        <w:t>Nous avons comparé le positionnement politique du CN fra</w:t>
      </w:r>
      <w:r>
        <w:rPr/>
        <w:t>î</w:t>
      </w:r>
      <w:r>
        <w:rPr>
          <w:lang w:val="fr-FR"/>
        </w:rPr>
        <w:t xml:space="preserve">chement </w:t>
      </w:r>
      <w:r>
        <w:rPr/>
        <w:t xml:space="preserve">élu </w:t>
      </w:r>
      <w:r>
        <w:rPr>
          <w:lang w:val="fr-FR"/>
        </w:rPr>
        <w:t xml:space="preserve">avec la législature précédente. Pour ce faire, nous avons utilisé les données de </w:t>
      </w:r>
      <w:hyperlink r:id="rId2">
        <w:r>
          <w:rPr>
            <w:rStyle w:val="Hyperlink0"/>
            <w:lang w:val="en-US"/>
          </w:rPr>
          <w:t>smartvote.ch</w:t>
        </w:r>
      </w:hyperlink>
      <w:r>
        <w:rPr>
          <w:lang w:val="fr-FR"/>
        </w:rPr>
        <w:t xml:space="preserve">, questionnaire politique auquel plus de 90% du Conseil national a répondu. Sur la base des réponses de chaque conseiller national, ces données permettent de positionner chaque parlementaire selon les dimensions gauche / droite (horizontale) et libéral / conservateur (verticale). </w:t>
      </w:r>
    </w:p>
    <w:p>
      <w:pPr>
        <w:pStyle w:val="Body"/>
        <w:shd w:fill="FFFFFF" w:val="clear"/>
        <w:bidi w:val="0"/>
        <w:jc w:val="left"/>
        <w:rPr/>
      </w:pPr>
      <w:r>
        <w:rPr/>
      </w:r>
    </w:p>
    <w:p>
      <w:pPr>
        <w:pStyle w:val="Body"/>
        <w:shd w:fill="FFFFFF" w:val="clear"/>
        <w:bidi w:val="0"/>
        <w:jc w:val="left"/>
        <w:rPr/>
      </w:pPr>
      <w:r>
        <w:rPr>
          <w:lang w:val="fr-FR"/>
        </w:rPr>
        <w:t>Voici comment les conseillers nationaux en 2011 et en 2015 sont placés selon ces 2 dimensions:</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Heading2"/>
        <w:shd w:fill="FFFFFF" w:val="clear"/>
        <w:bidi w:val="0"/>
        <w:jc w:val="left"/>
        <w:rPr/>
      </w:pPr>
      <w:r>
        <w:rPr/>
        <w:t xml:space="preserve">GRAPHIQUE 1 </w:t>
      </w:r>
      <w:r>
        <w:rPr/>
        <w:t>(</w:t>
      </w:r>
      <w:bookmarkStart w:id="0" w:name="__DdeLink__262_1272690852"/>
      <w:r>
        <w:rPr/>
        <w:t>Positionnement</w:t>
      </w:r>
      <w:bookmarkEnd w:id="0"/>
      <w:r>
        <w:rPr/>
        <w:t xml:space="preserve"> politique des conseillers nationaux 2011 vs 2015)</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lang w:val="fr-FR"/>
        </w:rPr>
        <w:t>Ce graphique montre les 7 principaux partis au CN (occupant plus des 96% des 200 sièges à la Chambre basse). Chaque point correspond à la position d’un parlementaire. Les ellipses regroupent les parlementaires selon leur parti politique. A noter, que la taille des ellipses n’indiquent pas la force du parti, mais uniquement l’homogénéité ou la divergence d’opinion au sein d’un parti.</w:t>
      </w:r>
    </w:p>
    <w:p>
      <w:pPr>
        <w:pStyle w:val="Body"/>
        <w:shd w:fill="FFFFFF" w:val="clear"/>
        <w:bidi w:val="0"/>
        <w:jc w:val="left"/>
        <w:rPr/>
      </w:pPr>
      <w:r>
        <w:rPr/>
      </w:r>
    </w:p>
    <w:p>
      <w:pPr>
        <w:pStyle w:val="Body"/>
        <w:shd w:fill="FFFFFF" w:val="clear"/>
        <w:bidi w:val="0"/>
        <w:jc w:val="left"/>
        <w:rPr/>
      </w:pPr>
      <w:r>
        <w:rPr>
          <w:lang w:val="fr-FR"/>
        </w:rPr>
        <w:t xml:space="preserve">On voit dans ce graphique que l’écart entre la gauche et la droite s’est creusé avec la nouvelle législature. Les partis de droite comme l’UDC, PLR et du centre droit (PDC) sont d’avantage polarisés, plus à droite dans le graphique. Les partis de gauche eux n’ont pas pas ou peu bougé. </w:t>
      </w:r>
    </w:p>
    <w:p>
      <w:pPr>
        <w:pStyle w:val="Body"/>
        <w:shd w:fill="FFFFFF" w:val="clear"/>
        <w:bidi w:val="0"/>
        <w:jc w:val="left"/>
        <w:rPr/>
      </w:pPr>
      <w:r>
        <w:rPr>
          <w:lang w:val="fr-FR"/>
        </w:rPr>
        <w:t>On constate également que les profils politiques des élus de droite en 2015 sont d’avantage similaires que par le passé (les ellipses sont plus compacts).</w:t>
      </w:r>
    </w:p>
    <w:p>
      <w:pPr>
        <w:pStyle w:val="Body"/>
        <w:shd w:fill="FFFFFF" w:val="clear"/>
        <w:bidi w:val="0"/>
        <w:jc w:val="left"/>
        <w:rPr/>
      </w:pPr>
      <w:r>
        <w:rPr>
          <w:lang w:val="fr-FR"/>
        </w:rPr>
        <w:t xml:space="preserve"> </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lang w:val="fr-FR"/>
        </w:rPr>
        <w:t xml:space="preserve">Le graphique ci-dessus montre la différence de positionnement politique des partis au Conseil national, mais ne permet en revanche pas d’illustrer un quelconque “glissement vers la droite”. </w:t>
      </w:r>
    </w:p>
    <w:p>
      <w:pPr>
        <w:pStyle w:val="Body"/>
        <w:shd w:fill="FFFFFF" w:val="clear"/>
        <w:bidi w:val="0"/>
        <w:jc w:val="left"/>
        <w:rPr/>
      </w:pPr>
      <w:r>
        <w:rPr/>
      </w:r>
    </w:p>
    <w:p>
      <w:pPr>
        <w:pStyle w:val="Body"/>
        <w:shd w:fill="FFFFFF" w:val="clear"/>
        <w:bidi w:val="0"/>
        <w:jc w:val="left"/>
        <w:rPr/>
      </w:pPr>
      <w:r>
        <w:rPr>
          <w:lang w:val="fr-FR"/>
        </w:rPr>
        <w:t xml:space="preserve">Pour quantifier la position du Conseil national à gauche/droite, nous avons visualisé la distribution du positionnement gauche/droite de tous les parlementaires*. Le graphique ci-dessous montre la fréquence lissée (dimension verticale) du positionnement gauche/droite des parlementaires (dimension horizontale). La ligne vertical en trait tillé montre la moyenne gauche/droite tous les conseillers nationaux. </w:t>
      </w:r>
    </w:p>
    <w:p>
      <w:pPr>
        <w:pStyle w:val="Body"/>
        <w:shd w:fill="FFFFFF" w:val="clear"/>
        <w:bidi w:val="0"/>
        <w:jc w:val="left"/>
        <w:rPr>
          <w:lang w:val="fr-FR"/>
        </w:rPr>
      </w:pPr>
      <w:r>
        <w:rPr/>
      </w:r>
    </w:p>
    <w:p>
      <w:pPr>
        <w:pStyle w:val="Body"/>
        <w:shd w:fill="FFFFFF" w:val="clear"/>
        <w:bidi w:val="0"/>
        <w:jc w:val="left"/>
        <w:rPr/>
      </w:pPr>
      <w:r>
        <w:rPr/>
      </w:r>
    </w:p>
    <w:p>
      <w:pPr>
        <w:pStyle w:val="Heading2"/>
        <w:shd w:fill="FFFFFF" w:val="clear"/>
        <w:bidi w:val="0"/>
        <w:jc w:val="left"/>
        <w:rPr/>
      </w:pPr>
      <w:r>
        <w:rPr/>
        <w:t xml:space="preserve">GRAPHIQUE 2 </w:t>
      </w:r>
      <w:r>
        <w:rPr/>
        <w:t>(Positionnement gauche/droite du CN)</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lang w:val="fr-FR"/>
        </w:rPr>
        <w:t xml:space="preserve">On voit dans ce graphique qu’en 2011, la gauche et la droite représentaient les deux grandes forces du CN. Le centre quant à lui était relativement peu représenté. Le “pic” de gauche était relativement homogène et mince, tandis qu’à droite </w:t>
      </w:r>
    </w:p>
    <w:p>
      <w:pPr>
        <w:pStyle w:val="Body"/>
        <w:shd w:fill="FFFFFF" w:val="clear"/>
        <w:bidi w:val="0"/>
        <w:jc w:val="left"/>
        <w:rPr/>
      </w:pPr>
      <w:r>
        <w:rPr/>
      </w:r>
    </w:p>
    <w:p>
      <w:pPr>
        <w:pStyle w:val="Body"/>
        <w:shd w:fill="FFFFFF" w:val="clear"/>
        <w:bidi w:val="0"/>
        <w:jc w:val="left"/>
        <w:rPr/>
      </w:pPr>
      <w:r>
        <w:rPr>
          <w:lang w:val="fr-FR"/>
        </w:rPr>
        <w:t>On constate qu’avec le dernier scrutin, les positions du centre se sont encore d’avantage érodées au Conseil national, tout comme à gauche.</w:t>
      </w:r>
    </w:p>
    <w:p>
      <w:pPr>
        <w:pStyle w:val="Body"/>
        <w:shd w:fill="FFFFFF" w:val="clear"/>
        <w:bidi w:val="0"/>
        <w:jc w:val="left"/>
        <w:rPr>
          <w:lang w:val="fr-FR"/>
        </w:rPr>
      </w:pPr>
      <w:r>
        <w:rPr/>
      </w:r>
    </w:p>
    <w:p>
      <w:pPr>
        <w:pStyle w:val="Body"/>
        <w:shd w:fill="FFFFFF" w:val="clear"/>
        <w:bidi w:val="0"/>
        <w:jc w:val="left"/>
        <w:rPr/>
      </w:pPr>
      <w:r>
        <w:rPr>
          <w:lang w:val="fr-FR"/>
        </w:rPr>
        <w:t>Erosion du centre</w:t>
      </w:r>
    </w:p>
    <w:p>
      <w:pPr>
        <w:pStyle w:val="Body"/>
        <w:shd w:fill="FFFFFF" w:val="clear"/>
        <w:bidi w:val="0"/>
        <w:jc w:val="left"/>
        <w:rPr/>
      </w:pPr>
      <w:r>
        <w:rPr/>
      </w:r>
    </w:p>
    <w:p>
      <w:pPr>
        <w:pStyle w:val="Body"/>
        <w:shd w:fill="FFFFFF" w:val="clear"/>
        <w:bidi w:val="0"/>
        <w:jc w:val="left"/>
        <w:rPr/>
      </w:pPr>
      <w:r>
        <w:rPr>
          <w:lang w:val="fr-FR"/>
        </w:rPr>
        <w:t xml:space="preserve"> </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b/>
          <w:b/>
          <w:bCs/>
        </w:rPr>
      </w:pPr>
      <w:r>
        <w:rPr>
          <w:b/>
          <w:bCs/>
          <w:lang w:val="fr-FR"/>
        </w:rPr>
        <w:t>Notes méthodologiques</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lang w:val="fr-FR"/>
        </w:rPr>
        <w:t xml:space="preserve">Les chercheurs de smartvote ont fourni à swissinfo.ch une série de 35 questions auxquels les conseillers nationaux ont répondu en 2011 et en 2015. Smartvote a calculé le positionnement de chaque conseiller national. Pour en savoir plus sur la méthode utilisée, voir ces </w:t>
      </w:r>
      <w:r>
        <w:rPr>
          <w:lang w:val="fr-FR"/>
        </w:rPr>
        <w:t>2 billets du blog de smartvote (en Allemand)</w:t>
      </w:r>
      <w:r>
        <w:rPr>
          <w:lang w:val="fr-FR"/>
        </w:rPr>
        <w:t xml:space="preserve">: </w:t>
      </w:r>
      <w:hyperlink r:id="rId3">
        <w:r>
          <w:rPr>
            <w:rStyle w:val="InternetLink"/>
            <w:lang w:val="fr-FR"/>
          </w:rPr>
          <w:t>http://blog.smartvote.ch/?p=2633</w:t>
        </w:r>
      </w:hyperlink>
      <w:r>
        <w:rPr>
          <w:lang w:val="fr-FR"/>
        </w:rPr>
        <w:t xml:space="preserve"> &amp; http://blog.smartvote.ch/?p=2509</w:t>
      </w:r>
    </w:p>
    <w:p>
      <w:pPr>
        <w:pStyle w:val="Body"/>
        <w:shd w:fill="FFFFFF" w:val="clear"/>
        <w:bidi w:val="0"/>
        <w:jc w:val="left"/>
        <w:rPr/>
      </w:pPr>
      <w:r>
        <w:rPr/>
      </w:r>
    </w:p>
    <w:p>
      <w:pPr>
        <w:pStyle w:val="Body"/>
        <w:shd w:fill="FFFFFF" w:val="clear"/>
        <w:bidi w:val="0"/>
        <w:jc w:val="left"/>
        <w:rPr/>
      </w:pPr>
      <w:r>
        <w:rPr/>
      </w:r>
    </w:p>
    <w:p>
      <w:pPr>
        <w:pStyle w:val="Body"/>
        <w:numPr>
          <w:ilvl w:val="0"/>
          <w:numId w:val="1"/>
        </w:numPr>
        <w:shd w:fill="FFFFFF" w:val="clear"/>
        <w:bidi w:val="0"/>
        <w:jc w:val="left"/>
        <w:rPr/>
      </w:pPr>
      <w:r>
        <w:rPr>
          <w:lang w:val="fr-FR"/>
        </w:rPr>
        <w:t>Afin de tout de même comptabilisé les parlementaires n’ayant pas répondu au questionnaire smartvote dans le mesure du positionnement général gauche/droite du Conseil national, la positionnement moyen gauche/droite du parti a été utilisé.</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t>A lire également (en Allemand):</w:t>
      </w:r>
    </w:p>
    <w:p>
      <w:pPr>
        <w:pStyle w:val="Body"/>
        <w:shd w:fill="FFFFFF" w:val="clear"/>
        <w:bidi w:val="0"/>
        <w:jc w:val="left"/>
        <w:rPr/>
      </w:pPr>
      <w:r>
        <w:rPr/>
      </w:r>
    </w:p>
    <w:p>
      <w:pPr>
        <w:pStyle w:val="Body"/>
        <w:shd w:fill="FFFFFF" w:val="clear"/>
        <w:bidi w:val="0"/>
        <w:jc w:val="left"/>
        <w:rPr/>
      </w:pPr>
      <w:hyperlink r:id="rId4">
        <w:r>
          <w:rPr>
            <w:rStyle w:val="Hyperlink0"/>
            <w:lang w:val="en-US"/>
          </w:rPr>
          <w:t>http://restmandat.ch/2015/10/19/der-rechtsrutsch-im-nationalrat-visualisiert/</w:t>
        </w:r>
      </w:hyperlink>
    </w:p>
    <w:p>
      <w:pPr>
        <w:pStyle w:val="Body"/>
        <w:shd w:fill="FFFFFF" w:val="clear"/>
        <w:bidi w:val="0"/>
        <w:jc w:val="left"/>
        <w:rPr/>
      </w:pPr>
      <w:r>
        <w:rPr/>
      </w:r>
    </w:p>
    <w:p>
      <w:pPr>
        <w:pStyle w:val="Body"/>
        <w:shd w:fill="FFFFFF" w:val="clear"/>
        <w:bidi w:val="0"/>
        <w:jc w:val="left"/>
        <w:rPr/>
      </w:pPr>
      <w:r>
        <w:rPr>
          <w:rStyle w:val="Hyperlink0"/>
          <w:lang w:val="en-US"/>
        </w:rPr>
        <w:t>http://blog.tagesanzeiger.ch/datenblog/index.php/10773/hess-und-leutenegger-oberholzer-so-extrem-ist-sonst-niemand</w:t>
      </w:r>
    </w:p>
    <w:sectPr>
      <w:headerReference w:type="default" r:id="rId5"/>
      <w:footerReference w:type="default" r:id="rId6"/>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 w:hanging="180"/>
      </w:pPr>
      <w:rPr>
        <w:rFonts w:ascii="OpenSymbol" w:hAnsi="OpenSymbol" w:cs="OpenSymbol" w:hint="default"/>
        <w:smallCaps w:val="false"/>
        <w:caps w:val="false"/>
        <w:outline w:val="false"/>
        <w:dstrike w:val="false"/>
        <w:strike w:val="false"/>
        <w:vertAlign w:val="baseline"/>
        <w:position w:val="0"/>
        <w:sz w:val="24"/>
        <w:spacing w:val="0"/>
        <w:shd w:fill="0165BC" w:val="clear"/>
        <w:w w:val="100"/>
        <w:emboss w:val="false"/>
        <w:imprint w:val="false"/>
      </w:rPr>
    </w:lvl>
    <w:lvl w:ilvl="1">
      <w:start w:val="1"/>
      <w:numFmt w:val="bullet"/>
      <w:lvlText w:val="*"/>
      <w:lvlJc w:val="left"/>
      <w:pPr>
        <w:ind w:left="360" w:hanging="180"/>
      </w:pPr>
      <w:rPr>
        <w:rFonts w:ascii="OpenSymbol" w:hAnsi="OpenSymbol" w:cs="OpenSymbol" w:hint="default"/>
        <w:smallCaps w:val="false"/>
        <w:caps w:val="false"/>
        <w:outline w:val="false"/>
        <w:dstrike w:val="false"/>
        <w:strike w:val="false"/>
        <w:vertAlign w:val="baseline"/>
        <w:position w:val="0"/>
        <w:sz w:val="24"/>
        <w:spacing w:val="0"/>
        <w:shd w:fill="0165BC" w:val="clear"/>
        <w:w w:val="100"/>
        <w:emboss w:val="false"/>
        <w:imprint w:val="false"/>
      </w:rPr>
    </w:lvl>
    <w:lvl w:ilvl="2">
      <w:start w:val="1"/>
      <w:numFmt w:val="bullet"/>
      <w:lvlText w:val="*"/>
      <w:lvlJc w:val="left"/>
      <w:pPr>
        <w:ind w:left="540" w:hanging="180"/>
      </w:pPr>
      <w:rPr>
        <w:rFonts w:ascii="OpenSymbol" w:hAnsi="OpenSymbol" w:cs="OpenSymbol" w:hint="default"/>
        <w:smallCaps w:val="false"/>
        <w:caps w:val="false"/>
        <w:outline w:val="false"/>
        <w:dstrike w:val="false"/>
        <w:strike w:val="false"/>
        <w:vertAlign w:val="baseline"/>
        <w:position w:val="0"/>
        <w:sz w:val="24"/>
        <w:spacing w:val="0"/>
        <w:shd w:fill="0165BC" w:val="clear"/>
        <w:w w:val="100"/>
        <w:emboss w:val="false"/>
        <w:imprint w:val="false"/>
      </w:rPr>
    </w:lvl>
    <w:lvl w:ilvl="3">
      <w:start w:val="1"/>
      <w:numFmt w:val="bullet"/>
      <w:lvlText w:val="*"/>
      <w:lvlJc w:val="left"/>
      <w:pPr>
        <w:ind w:left="720" w:hanging="180"/>
      </w:pPr>
      <w:rPr>
        <w:rFonts w:ascii="OpenSymbol" w:hAnsi="OpenSymbol" w:cs="OpenSymbol" w:hint="default"/>
        <w:smallCaps w:val="false"/>
        <w:caps w:val="false"/>
        <w:outline w:val="false"/>
        <w:dstrike w:val="false"/>
        <w:strike w:val="false"/>
        <w:vertAlign w:val="baseline"/>
        <w:position w:val="0"/>
        <w:sz w:val="24"/>
        <w:spacing w:val="0"/>
        <w:shd w:fill="0165BC" w:val="clear"/>
        <w:w w:val="100"/>
        <w:emboss w:val="false"/>
        <w:imprint w:val="false"/>
      </w:rPr>
    </w:lvl>
    <w:lvl w:ilvl="4">
      <w:start w:val="1"/>
      <w:numFmt w:val="bullet"/>
      <w:lvlText w:val="*"/>
      <w:lvlJc w:val="left"/>
      <w:pPr>
        <w:ind w:left="900" w:hanging="180"/>
      </w:pPr>
      <w:rPr>
        <w:rFonts w:ascii="OpenSymbol" w:hAnsi="OpenSymbol" w:cs="OpenSymbol" w:hint="default"/>
        <w:smallCaps w:val="false"/>
        <w:caps w:val="false"/>
        <w:outline w:val="false"/>
        <w:dstrike w:val="false"/>
        <w:strike w:val="false"/>
        <w:vertAlign w:val="baseline"/>
        <w:position w:val="0"/>
        <w:sz w:val="24"/>
        <w:spacing w:val="0"/>
        <w:shd w:fill="0165BC" w:val="clear"/>
        <w:w w:val="100"/>
        <w:emboss w:val="false"/>
        <w:imprint w:val="false"/>
      </w:rPr>
    </w:lvl>
    <w:lvl w:ilvl="5">
      <w:start w:val="1"/>
      <w:numFmt w:val="bullet"/>
      <w:lvlText w:val="*"/>
      <w:lvlJc w:val="left"/>
      <w:pPr>
        <w:ind w:left="1080" w:hanging="180"/>
      </w:pPr>
      <w:rPr>
        <w:rFonts w:ascii="OpenSymbol" w:hAnsi="OpenSymbol" w:cs="OpenSymbol" w:hint="default"/>
        <w:smallCaps w:val="false"/>
        <w:caps w:val="false"/>
        <w:outline w:val="false"/>
        <w:dstrike w:val="false"/>
        <w:strike w:val="false"/>
        <w:vertAlign w:val="baseline"/>
        <w:position w:val="0"/>
        <w:sz w:val="24"/>
        <w:spacing w:val="0"/>
        <w:shd w:fill="0165BC" w:val="clear"/>
        <w:w w:val="100"/>
        <w:emboss w:val="false"/>
        <w:imprint w:val="false"/>
      </w:rPr>
    </w:lvl>
    <w:lvl w:ilvl="6">
      <w:start w:val="1"/>
      <w:numFmt w:val="bullet"/>
      <w:lvlText w:val="*"/>
      <w:lvlJc w:val="left"/>
      <w:pPr>
        <w:ind w:left="1260" w:hanging="180"/>
      </w:pPr>
      <w:rPr>
        <w:rFonts w:ascii="OpenSymbol" w:hAnsi="OpenSymbol" w:cs="OpenSymbol" w:hint="default"/>
        <w:smallCaps w:val="false"/>
        <w:caps w:val="false"/>
        <w:outline w:val="false"/>
        <w:dstrike w:val="false"/>
        <w:strike w:val="false"/>
        <w:vertAlign w:val="baseline"/>
        <w:position w:val="0"/>
        <w:sz w:val="24"/>
        <w:spacing w:val="0"/>
        <w:shd w:fill="0165BC" w:val="clear"/>
        <w:w w:val="100"/>
        <w:emboss w:val="false"/>
        <w:imprint w:val="false"/>
      </w:rPr>
    </w:lvl>
    <w:lvl w:ilvl="7">
      <w:start w:val="1"/>
      <w:numFmt w:val="bullet"/>
      <w:lvlText w:val="*"/>
      <w:lvlJc w:val="left"/>
      <w:pPr>
        <w:ind w:left="1440" w:hanging="180"/>
      </w:pPr>
      <w:rPr>
        <w:rFonts w:ascii="OpenSymbol" w:hAnsi="OpenSymbol" w:cs="OpenSymbol" w:hint="default"/>
        <w:smallCaps w:val="false"/>
        <w:caps w:val="false"/>
        <w:outline w:val="false"/>
        <w:dstrike w:val="false"/>
        <w:strike w:val="false"/>
        <w:vertAlign w:val="baseline"/>
        <w:position w:val="0"/>
        <w:sz w:val="24"/>
        <w:spacing w:val="0"/>
        <w:shd w:fill="0165BC" w:val="clear"/>
        <w:w w:val="100"/>
        <w:emboss w:val="false"/>
        <w:imprint w:val="false"/>
      </w:rPr>
    </w:lvl>
    <w:lvl w:ilvl="8">
      <w:start w:val="1"/>
      <w:numFmt w:val="bullet"/>
      <w:lvlText w:val="*"/>
      <w:lvlJc w:val="left"/>
      <w:pPr>
        <w:ind w:left="1620" w:hanging="180"/>
      </w:pPr>
      <w:rPr>
        <w:rFonts w:ascii="OpenSymbol" w:hAnsi="OpenSymbol" w:cs="OpenSymbol" w:hint="default"/>
        <w:smallCaps w:val="false"/>
        <w:caps w:val="false"/>
        <w:outline w:val="false"/>
        <w:dstrike w:val="false"/>
        <w:strike w:val="false"/>
        <w:vertAlign w:val="baseline"/>
        <w:position w:val="0"/>
        <w:sz w:val="24"/>
        <w:spacing w:val="0"/>
        <w:shd w:fill="0165BC" w:val="clear"/>
        <w:w w:val="100"/>
        <w:emboss w:val="false"/>
        <w:imprint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qFormat/>
    <w:pPr/>
    <w:rPr/>
  </w:style>
  <w:style w:type="paragraph" w:styleId="Heading2">
    <w:name w:val="Heading 2"/>
    <w:basedOn w:val="Heading"/>
    <w:next w:val="Body"/>
    <w:qFormat/>
    <w:pPr>
      <w:keepNext/>
      <w:keepLines w:val="false"/>
      <w:pageBreakBefore w:val="false"/>
      <w:widowControl/>
      <w:shd w:val="clear" w:color="auto" w:fill="auto"/>
      <w:suppressAutoHyphens w:val="false"/>
      <w:bidi w:val="0"/>
      <w:spacing w:lineRule="auto" w:line="240" w:before="0" w:after="0"/>
      <w:ind w:left="0" w:right="0" w:hanging="0"/>
      <w:jc w:val="left"/>
      <w:outlineLvl w:val="1"/>
    </w:pPr>
    <w:rPr>
      <w:rFonts w:ascii="Helvetica" w:hAnsi="Helvetica" w:eastAsia="Arial Unicode MS" w:cs="Arial Unicode MS"/>
      <w:b/>
      <w:bCs/>
      <w:i w:val="false"/>
      <w:iCs w:val="false"/>
      <w:caps w:val="false"/>
      <w:smallCaps w:val="false"/>
      <w:strike w:val="false"/>
      <w:dstrike w:val="false"/>
      <w:outline w:val="false"/>
      <w:color w:val="000000"/>
      <w:spacing w:val="0"/>
      <w:position w:val="0"/>
      <w:sz w:val="32"/>
      <w:sz w:val="32"/>
      <w:szCs w:val="32"/>
      <w:u w:val="none" w:color="00000A"/>
      <w:vertAlign w:val="baseline"/>
      <w:lang w:val="fr-FR"/>
    </w:rPr>
  </w:style>
  <w:style w:type="paragraph" w:styleId="Heading3">
    <w:name w:val="Heading 3"/>
    <w:basedOn w:val="Heading"/>
    <w:qFormat/>
    <w:pPr/>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4"/>
      <w:shd w:fill="0165BC" w:val="clear"/>
      <w:vertAlign w:val="baseline"/>
    </w:rPr>
  </w:style>
  <w:style w:type="paragraph" w:styleId="Heading">
    <w:name w:val="Heading"/>
    <w:basedOn w:val="Normal"/>
    <w:next w:val="TextBody"/>
    <w:qFormat/>
    <w:pPr>
      <w:keepNext/>
      <w:keepLines w:val="false"/>
      <w:pageBreakBefore w:val="false"/>
      <w:widowControl/>
      <w:shd w:val="clear" w:color="auto" w:fill="auto"/>
      <w:suppressAutoHyphens w:val="false"/>
      <w:bidi w:val="0"/>
      <w:spacing w:lineRule="auto" w:line="240" w:before="0" w:after="0"/>
      <w:ind w:left="0" w:right="0" w:hanging="0"/>
      <w:jc w:val="left"/>
      <w:outlineLvl w:val="0"/>
    </w:pPr>
    <w:rPr>
      <w:rFonts w:ascii="Helvetica" w:hAnsi="Helvetica" w:eastAsia="Arial Unicode MS" w:cs="Arial Unicode MS"/>
      <w:b/>
      <w:bCs/>
      <w:i w:val="false"/>
      <w:iCs w:val="false"/>
      <w:caps w:val="false"/>
      <w:smallCaps w:val="false"/>
      <w:strike w:val="false"/>
      <w:dstrike w:val="false"/>
      <w:outline w:val="false"/>
      <w:color w:val="000000"/>
      <w:spacing w:val="0"/>
      <w:position w:val="0"/>
      <w:sz w:val="36"/>
      <w:sz w:val="36"/>
      <w:szCs w:val="36"/>
      <w:u w:val="none" w:color="00000A"/>
      <w:vertAlign w:val="baseline"/>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
    <w:name w:val="Body"/>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GB" w:eastAsia="zh-CN" w:bidi="hi-IN"/>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style>
  <w:style w:type="numbering" w:styleId="Bullet">
    <w:name w:val="Bulle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rtvote.ch/" TargetMode="External"/><Relationship Id="rId3" Type="http://schemas.openxmlformats.org/officeDocument/2006/relationships/hyperlink" Target="http://blog.smartvote.ch/?p=2633" TargetMode="External"/><Relationship Id="rId4" Type="http://schemas.openxmlformats.org/officeDocument/2006/relationships/hyperlink" Target="http://restmandat.ch/2015/10/19/der-rechtsrutsch-im-nationalrat-visualisier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6</TotalTime>
  <Application>LibreOffice/4.4.5.2$MacOSX_X86_64 LibreOffice_project/a22f674fd25a3b6f45bdebf25400ed2adff0ff99</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fr-CH</dc:language>
  <dcterms:modified xsi:type="dcterms:W3CDTF">2015-10-21T10:38:31Z</dcterms:modified>
  <cp:revision>9</cp:revision>
</cp:coreProperties>
</file>