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CH"/>
        </w:rPr>
      </w:pPr>
      <w:r>
        <w:rPr>
          <w:lang w:val="fr-CH"/>
        </w:rPr>
        <w:t>But de l’exercice : montrer à travers une série de graphiques quelle a été l’évolution de l’AVS depuis sa création en 1948 et quels sont les défis à venir</w:t>
      </w:r>
    </w:p>
    <w:p>
      <w:pPr>
        <w:pStyle w:val="Normal"/>
        <w:rPr>
          <w:lang w:val="fr-CH"/>
        </w:rPr>
      </w:pPr>
      <w:r>
        <w:rPr>
          <w:lang w:val="fr-CH"/>
        </w:rPr>
      </w:r>
    </w:p>
    <w:p>
      <w:pPr>
        <w:pStyle w:val="ListParagraph"/>
        <w:numPr>
          <w:ilvl w:val="0"/>
          <w:numId w:val="1"/>
        </w:numPr>
        <w:rPr>
          <w:b/>
          <w:b/>
          <w:bCs/>
          <w:lang w:val="fr-CH"/>
        </w:rPr>
      </w:pPr>
      <w:r>
        <w:rPr>
          <w:b/>
          <w:bCs/>
          <w:lang w:val="fr-CH"/>
        </w:rPr>
        <w:t>Evolution du rapport de dépendance</w:t>
      </w:r>
    </w:p>
    <w:p>
      <w:pPr>
        <w:pStyle w:val="ListParagraph"/>
        <w:rPr>
          <w:lang w:val="fr-CH"/>
        </w:rPr>
      </w:pPr>
      <w:r>
        <w:rPr>
          <w:lang w:val="fr-CH"/>
        </w:rPr>
        <w:t xml:space="preserve">Le rapport de dépendance est la proportion entre population en âge de travailler et personnes à la retraite. En 1948 </w:t>
      </w:r>
      <w:bookmarkStart w:id="0" w:name="__DdeLink__91_608795493"/>
      <w:bookmarkStart w:id="1" w:name="__DdeLink__89_608795493"/>
      <w:bookmarkStart w:id="2" w:name="__DdeLink__87_608795493"/>
      <w:r>
        <w:rPr>
          <w:lang w:val="fr-CH"/>
        </w:rPr>
        <w:t>la proportion</w:t>
      </w:r>
      <w:bookmarkEnd w:id="0"/>
      <w:bookmarkEnd w:id="1"/>
      <w:bookmarkEnd w:id="2"/>
      <w:r>
        <w:rPr>
          <w:lang w:val="fr-CH"/>
        </w:rPr>
        <w:t xml:space="preserve"> était de 6,5 actifs pour chaque retraité. Aujourd’hui est de 4:1, d’ici 20 ans les previsions tablent sur un rapport de 2:1</w:t>
      </w:r>
    </w:p>
    <w:p>
      <w:pPr>
        <w:pStyle w:val="ListParagraph"/>
        <w:rPr>
          <w:lang w:val="fr-CH"/>
        </w:rPr>
      </w:pPr>
      <w:r>
        <w:rPr>
          <w:lang w:val="fr-CH"/>
        </w:rPr>
      </w:r>
    </w:p>
    <w:p>
      <w:pPr>
        <w:pStyle w:val="ListParagraph"/>
        <w:rPr>
          <w:lang w:val="fr-CH"/>
        </w:rPr>
      </w:pPr>
      <w:r>
        <w:rPr>
          <w:lang w:val="fr-CH"/>
        </w:rPr>
        <w:t>Pour une comparaison au niveau international et projections voire :</w:t>
      </w:r>
    </w:p>
    <w:p>
      <w:pPr>
        <w:pStyle w:val="ListParagraph"/>
        <w:rPr>
          <w:lang w:val="fr-CH"/>
        </w:rPr>
      </w:pPr>
      <w:r>
        <w:rPr>
          <w:lang w:val="fr-CH"/>
        </w:rPr>
      </w:r>
    </w:p>
    <w:p>
      <w:pPr>
        <w:pStyle w:val="ListParagraph"/>
        <w:rPr/>
      </w:pPr>
      <w:r>
        <w:fldChar w:fldCharType="begin"/>
      </w:r>
      <w:r>
        <w:instrText> HYPERLINK "http://www.keepeek.com/Digital-Asset-Management/oecd/social-issues-migration-health/panorama-des-pensions-2015_pension_glance-2015-fr" \l "page173"</w:instrText>
      </w:r>
      <w:r>
        <w:fldChar w:fldCharType="separate"/>
      </w:r>
      <w:bookmarkStart w:id="3" w:name="__DdeLink__82_608795493"/>
      <w:r>
        <w:rPr>
          <w:rStyle w:val="InternetLink"/>
          <w:lang w:val="fr-CH"/>
        </w:rPr>
        <w:t>http://www.keepeek.com/Digital-Asset-Management/oecd/social-issues-migration-health/</w:t>
      </w:r>
      <w:r>
        <w:fldChar w:fldCharType="end"/>
      </w:r>
      <w:bookmarkStart w:id="4" w:name="__DdeLink__84_608795493"/>
      <w:bookmarkEnd w:id="3"/>
      <w:bookmarkEnd w:id="4"/>
      <w:r>
        <w:rPr>
          <w:lang w:val="fr-CH"/>
        </w:rPr>
        <w:t>panorama-des-pensions-2015_pension_glance-2015-fr#page173</w:t>
      </w:r>
    </w:p>
    <w:p>
      <w:pPr>
        <w:pStyle w:val="ListParagraph"/>
        <w:rPr>
          <w:lang w:val="fr-CH"/>
        </w:rPr>
      </w:pPr>
      <w:r>
        <w:rPr>
          <w:lang w:val="fr-CH"/>
        </w:rPr>
        <w:t xml:space="preserve">page 171 </w:t>
      </w:r>
    </w:p>
    <w:p>
      <w:pPr>
        <w:pStyle w:val="ListParagraph"/>
        <w:rPr>
          <w:lang w:val="fr-CH"/>
        </w:rPr>
      </w:pPr>
      <w:r>
        <w:rPr>
          <w:lang w:val="fr-CH"/>
        </w:rPr>
      </w:r>
    </w:p>
    <w:p>
      <w:pPr>
        <w:pStyle w:val="ListParagraph"/>
        <w:rPr>
          <w:lang w:val="fr-CH"/>
        </w:rPr>
      </w:pPr>
      <w:commentRangeStart w:id="0"/>
      <w:r>
        <w:rPr>
          <w:lang w:val="fr-CH"/>
        </w:rPr>
      </w:r>
    </w:p>
    <w:p>
      <w:pPr>
        <w:pStyle w:val="ListParagraph"/>
        <w:numPr>
          <w:ilvl w:val="0"/>
          <w:numId w:val="1"/>
        </w:numPr>
        <w:rPr>
          <w:b/>
          <w:b/>
          <w:bCs/>
          <w:lang w:val="fr-CH"/>
        </w:rPr>
      </w:pPr>
      <w:r>
        <w:rPr>
          <w:b/>
          <w:bCs/>
          <w:lang w:val="fr-CH"/>
        </w:rPr>
        <w:t>Esperance de vie dès 65 ans</w:t>
      </w:r>
    </w:p>
    <w:p>
      <w:pPr>
        <w:pStyle w:val="ListParagraph"/>
        <w:rPr>
          <w:lang w:val="fr-CH"/>
        </w:rPr>
      </w:pPr>
      <w:r>
        <w:rPr>
          <w:lang w:val="fr-CH"/>
        </w:rPr>
        <w:t xml:space="preserve">En l’espace d’une cinquantaine d’années on est passée de 15,2 à 22,2 ans pour les femmes e de 12,9 à 18,9 ans pour les hommes. </w:t>
      </w:r>
    </w:p>
    <w:p>
      <w:pPr>
        <w:pStyle w:val="ListParagraph"/>
        <w:rPr>
          <w:lang w:val="fr-CH"/>
        </w:rPr>
      </w:pPr>
      <w:r>
        <w:rPr>
          <w:lang w:val="fr-CH"/>
        </w:rPr>
      </w:r>
    </w:p>
    <w:p>
      <w:pPr>
        <w:pStyle w:val="ListParagraph"/>
        <w:rPr>
          <w:lang w:val="fr-CH"/>
        </w:rPr>
      </w:pPr>
      <w:r>
        <w:rPr>
          <w:lang w:val="fr-CH"/>
        </w:rPr>
        <w:t>Pour la Suisse :</w:t>
      </w:r>
    </w:p>
    <w:p>
      <w:pPr>
        <w:pStyle w:val="ListParagraph"/>
        <w:rPr/>
      </w:pPr>
      <w:hyperlink r:id="rId2">
        <w:r>
          <w:rPr>
            <w:rStyle w:val="InternetLink"/>
            <w:lang w:val="fr-CH"/>
          </w:rPr>
          <w:t>http://www.bfs.admin.ch/bfs/portal/fr/index/themen/01/06/blank/key/04/04.html</w:t>
        </w:r>
      </w:hyperlink>
    </w:p>
    <w:p>
      <w:pPr>
        <w:pStyle w:val="ListParagraph"/>
        <w:rPr>
          <w:lang w:val="fr-CH"/>
        </w:rPr>
      </w:pPr>
      <w:r>
        <w:rPr>
          <w:lang w:val="fr-CH"/>
        </w:rPr>
      </w:r>
    </w:p>
    <w:p>
      <w:pPr>
        <w:pStyle w:val="ListParagraph"/>
        <w:rPr>
          <w:lang w:val="fr-CH"/>
        </w:rPr>
      </w:pPr>
      <w:r>
        <w:rPr>
          <w:lang w:val="fr-CH"/>
        </w:rPr>
        <w:t xml:space="preserve">International : </w:t>
      </w:r>
    </w:p>
    <w:p>
      <w:pPr>
        <w:pStyle w:val="ListParagraph"/>
        <w:rPr/>
      </w:pPr>
      <w:r>
        <w:rPr>
          <w:lang w:val="fr-CH"/>
        </w:rPr>
        <w:t>Rapport précedant page 169</w:t>
      </w:r>
      <w:commentRangeEnd w:id="0"/>
      <w:r>
        <w:commentReference w:id="0"/>
      </w:r>
      <w:r>
        <w:rPr>
          <w:lang w:val="fr-CH"/>
        </w:rPr>
      </w:r>
    </w:p>
    <w:p>
      <w:pPr>
        <w:pStyle w:val="ListParagraph"/>
        <w:rPr>
          <w:lang w:val="fr-CH"/>
        </w:rPr>
      </w:pPr>
      <w:r>
        <w:rPr>
          <w:lang w:val="fr-CH"/>
        </w:rPr>
      </w:r>
    </w:p>
    <w:p>
      <w:pPr>
        <w:pStyle w:val="ListParagraph"/>
        <w:rPr>
          <w:lang w:val="fr-CH"/>
        </w:rPr>
      </w:pPr>
      <w:r>
        <w:rPr>
          <w:lang w:val="fr-CH"/>
        </w:rPr>
        <w:t>Autre données intéressante : Nombre prévu d’années à la retraite  page 177</w:t>
      </w:r>
    </w:p>
    <w:p>
      <w:pPr>
        <w:pStyle w:val="ListParagraph"/>
        <w:rPr>
          <w:lang w:val="fr-CH"/>
        </w:rPr>
      </w:pPr>
      <w:r>
        <w:rPr>
          <w:lang w:val="fr-CH"/>
        </w:rPr>
      </w:r>
    </w:p>
    <w:p>
      <w:pPr>
        <w:pStyle w:val="ListParagraph"/>
        <w:numPr>
          <w:ilvl w:val="0"/>
          <w:numId w:val="1"/>
        </w:numPr>
        <w:rPr>
          <w:b/>
          <w:b/>
          <w:bCs/>
          <w:lang w:val="fr-CH"/>
        </w:rPr>
      </w:pPr>
      <w:r>
        <w:rPr>
          <w:b/>
          <w:bCs/>
          <w:lang w:val="fr-CH"/>
        </w:rPr>
        <w:t xml:space="preserve">Age legale de la retraite, âge effective de la sortie du marché du travail et prévisions </w:t>
      </w:r>
    </w:p>
    <w:p>
      <w:pPr>
        <w:pStyle w:val="ListParagraph"/>
        <w:rPr>
          <w:lang w:val="fr-CH"/>
        </w:rPr>
      </w:pPr>
      <w:r>
        <w:rPr>
          <w:lang w:val="fr-CH"/>
        </w:rPr>
        <w:t>Document OCDE page 147 et 175</w:t>
      </w:r>
    </w:p>
    <w:p>
      <w:pPr>
        <w:pStyle w:val="ListParagraph"/>
        <w:rPr>
          <w:lang w:val="fr-CH"/>
        </w:rPr>
      </w:pPr>
      <w:r>
        <w:rPr>
          <w:lang w:val="fr-CH"/>
        </w:rPr>
      </w:r>
    </w:p>
    <w:p>
      <w:pPr>
        <w:pStyle w:val="ListParagraph"/>
        <w:numPr>
          <w:ilvl w:val="0"/>
          <w:numId w:val="1"/>
        </w:numPr>
        <w:rPr>
          <w:lang w:val="fr-CH"/>
        </w:rPr>
      </w:pPr>
      <w:r>
        <w:rPr>
          <w:b/>
          <w:bCs/>
          <w:lang w:val="fr-CH"/>
        </w:rPr>
        <w:t>Taux de remplacement</w:t>
      </w:r>
      <w:r>
        <w:rPr>
          <w:lang w:val="fr-CH"/>
        </w:rPr>
        <w:t xml:space="preserve"> (proportion des revenus de la prévoyance vieillesse par rapport au salaire perçu précédemment par la personne active). L’aspect intéressant est que en Suisse ce taux est plutôt bas en comparaison internationale. </w:t>
      </w:r>
    </w:p>
    <w:p>
      <w:pPr>
        <w:pStyle w:val="ListParagraph"/>
        <w:rPr>
          <w:lang w:val="fr-CH"/>
        </w:rPr>
      </w:pPr>
      <w:r>
        <w:rPr>
          <w:lang w:val="fr-CH"/>
        </w:rPr>
        <w:t>Document OCDE p 157</w:t>
      </w:r>
    </w:p>
    <w:p>
      <w:pPr>
        <w:pStyle w:val="ListParagraph"/>
        <w:rPr>
          <w:lang w:val="fr-CH"/>
        </w:rPr>
      </w:pPr>
      <w:r>
        <w:rPr>
          <w:lang w:val="fr-CH"/>
        </w:rPr>
        <w:t xml:space="preserve">La colonne 0,5 / 1 / 1,5 ça signifie le salaire moyen dans le pays fois 0,5, fois 1 et fois 1,5. Je propose qu’on prenne la colonne 1. </w:t>
      </w:r>
    </w:p>
    <w:p>
      <w:pPr>
        <w:pStyle w:val="ListParagraph"/>
        <w:rPr>
          <w:lang w:val="fr-CH"/>
        </w:rPr>
      </w:pPr>
      <w:r>
        <w:rPr>
          <w:lang w:val="fr-CH"/>
        </w:rPr>
      </w:r>
    </w:p>
    <w:p>
      <w:pPr>
        <w:pStyle w:val="ListParagraph"/>
        <w:numPr>
          <w:ilvl w:val="0"/>
          <w:numId w:val="1"/>
        </w:numPr>
        <w:rPr>
          <w:b/>
          <w:b/>
          <w:bCs/>
          <w:lang w:val="fr-CH"/>
        </w:rPr>
      </w:pPr>
      <w:r>
        <w:rPr>
          <w:b/>
          <w:bCs/>
          <w:lang w:val="fr-CH"/>
        </w:rPr>
        <w:t>Evolution des besoins financiers de l’AVS</w:t>
      </w:r>
    </w:p>
    <w:p>
      <w:pPr>
        <w:pStyle w:val="ListParagraph"/>
        <w:rPr>
          <w:lang w:val="fr-CH"/>
        </w:rPr>
      </w:pPr>
      <w:r>
        <w:rPr>
          <w:lang w:val="fr-CH"/>
        </w:rPr>
        <w:t>Selon le scenario démographique moyen, en 2020 le deficit de financement de l’AVS sera de 1,2 miliard de francs, en 2030 de 8,6 miliards</w:t>
      </w:r>
    </w:p>
    <w:p>
      <w:pPr>
        <w:pStyle w:val="ListParagraph"/>
        <w:rPr>
          <w:lang w:val="fr-CH"/>
        </w:rPr>
      </w:pPr>
      <w:r>
        <w:rPr>
          <w:lang w:val="fr-CH"/>
        </w:rPr>
        <w:t>Pour les données de 1948 à 2014 voire sur cette page :</w:t>
      </w:r>
    </w:p>
    <w:p>
      <w:pPr>
        <w:pStyle w:val="ListParagraph"/>
        <w:rPr/>
      </w:pPr>
      <w:hyperlink r:id="rId3">
        <w:r>
          <w:rPr>
            <w:rStyle w:val="InternetLink"/>
            <w:lang w:val="fr-CH"/>
          </w:rPr>
          <w:t>http://www.bfs.admin.ch/bfs/portal/fr/index/themen/13/02/02/key/finanzen.html</w:t>
        </w:r>
      </w:hyperlink>
    </w:p>
    <w:p>
      <w:pPr>
        <w:pStyle w:val="ListParagraph"/>
        <w:rPr>
          <w:rStyle w:val="InternetLink"/>
          <w:lang w:val="fr-CH"/>
        </w:rPr>
      </w:pPr>
      <w:r>
        <w:rPr/>
      </w:r>
    </w:p>
    <w:p>
      <w:pPr>
        <w:pStyle w:val="ListParagraph"/>
        <w:rPr/>
      </w:pPr>
      <w:r>
        <w:rPr>
          <w:rStyle w:val="InternetLink"/>
          <w:u w:val="none"/>
          <w:lang w:val="fr-CH"/>
        </w:rPr>
        <w:t xml:space="preserve">Dépense + recettes + bilan + </w:t>
      </w:r>
    </w:p>
    <w:p>
      <w:pPr>
        <w:pStyle w:val="ListParagraph"/>
        <w:rPr>
          <w:rStyle w:val="InternetLink"/>
          <w:lang w:val="fr-CH"/>
        </w:rPr>
      </w:pPr>
      <w:r>
        <w:rPr/>
      </w:r>
    </w:p>
    <w:p>
      <w:pPr>
        <w:pStyle w:val="ListParagraph"/>
        <w:rPr>
          <w:lang w:val="fr-CH"/>
        </w:rPr>
      </w:pPr>
      <w:r>
        <w:rPr>
          <w:lang w:val="fr-CH"/>
        </w:rPr>
      </w:r>
    </w:p>
    <w:p>
      <w:pPr>
        <w:pStyle w:val="ListParagraph"/>
        <w:rPr>
          <w:lang w:val="fr-CH"/>
        </w:rPr>
      </w:pPr>
      <w:r>
        <w:rPr>
          <w:u w:val="none"/>
          <w:lang w:val="fr-CH"/>
        </w:rPr>
        <w:t>Prévisions</w:t>
      </w:r>
      <w:r>
        <w:rPr>
          <w:lang w:val="fr-CH"/>
        </w:rPr>
        <w:t xml:space="preserve"> : </w:t>
      </w:r>
    </w:p>
    <w:p>
      <w:pPr>
        <w:pStyle w:val="ListParagraph"/>
        <w:rPr/>
      </w:pPr>
      <w:hyperlink r:id="rId4">
        <w:r>
          <w:rPr>
            <w:rStyle w:val="InternetLink"/>
            <w:lang w:val="fr-CH"/>
          </w:rPr>
          <w:t>http://www.bsv.admin.ch/altersvorsorge_2020/03258/03260/index.html?lang=fr&amp;download=NHzLpZeg7t,lnp6I0NTU042l2Z6ln1ae2IZn4Z2qZpnO2Yuq2Z6gpJCDfYJ,fGym162epYbg2c_JjKbNoKSn6A--</w:t>
        </w:r>
      </w:hyperlink>
    </w:p>
    <w:p>
      <w:pPr>
        <w:pStyle w:val="ListParagraph"/>
        <w:rPr>
          <w:lang w:val="fr-CH"/>
        </w:rPr>
      </w:pPr>
      <w:r>
        <w:rPr>
          <w:lang w:val="fr-CH"/>
        </w:rPr>
      </w:r>
    </w:p>
    <w:p>
      <w:pPr>
        <w:pStyle w:val="ListParagraph"/>
        <w:rPr>
          <w:lang w:val="fr-CH"/>
        </w:rPr>
      </w:pPr>
      <w:r>
        <w:rPr>
          <w:lang w:val="fr-CH"/>
        </w:rPr>
      </w:r>
    </w:p>
    <w:p>
      <w:pPr>
        <w:pStyle w:val="ListParagraph"/>
        <w:numPr>
          <w:ilvl w:val="0"/>
          <w:numId w:val="1"/>
        </w:numPr>
        <w:rPr>
          <w:lang w:val="fr-CH"/>
        </w:rPr>
      </w:pPr>
      <w:r>
        <w:rPr>
          <w:lang w:val="fr-CH"/>
        </w:rPr>
        <w:t>Quel est l’impact de l’immigration sur l’AVS</w:t>
      </w:r>
    </w:p>
    <w:p>
      <w:pPr>
        <w:pStyle w:val="ListParagraph"/>
        <w:rPr>
          <w:lang w:val="fr-CH"/>
        </w:rPr>
      </w:pPr>
      <w:r>
        <w:rPr>
          <w:lang w:val="fr-CH"/>
        </w:rPr>
      </w:r>
    </w:p>
    <w:p>
      <w:pPr>
        <w:pStyle w:val="ListParagraph"/>
        <w:rPr>
          <w:lang w:val="fr-CH"/>
        </w:rPr>
      </w:pPr>
      <w:r>
        <w:rPr>
          <w:lang w:val="fr-CH"/>
        </w:rPr>
        <w:t xml:space="preserve">Deux solutions </w:t>
      </w:r>
    </w:p>
    <w:p>
      <w:pPr>
        <w:pStyle w:val="ListParagraph"/>
        <w:numPr>
          <w:ilvl w:val="0"/>
          <w:numId w:val="2"/>
        </w:numPr>
        <w:rPr>
          <w:lang w:val="fr-CH"/>
        </w:rPr>
      </w:pPr>
      <w:r>
        <w:rPr>
          <w:lang w:val="fr-CH"/>
        </w:rPr>
        <w:t xml:space="preserve">Montrer les résultats financier de l’AVS sans immigration </w:t>
      </w:r>
    </w:p>
    <w:p>
      <w:pPr>
        <w:pStyle w:val="ListParagraph"/>
        <w:ind w:left="1080" w:hanging="0"/>
        <w:rPr/>
      </w:pPr>
      <w:r>
        <w:rPr>
          <w:lang w:val="fr-CH"/>
        </w:rPr>
        <w:t xml:space="preserve">On retrouve ce graphique à la page 28 du </w:t>
      </w:r>
      <w:hyperlink r:id="rId5">
        <w:r>
          <w:rPr>
            <w:rStyle w:val="InternetLink"/>
            <w:lang w:val="fr-CH"/>
          </w:rPr>
          <w:t>http://www.bsv.admin.ch/altersvorsorge_2020/03265/index.html?lang=it&amp;download=NHzLpZeg7t,lnp6I0NTU042l2Z6ln1ah2oZn4Z2qZpnO2Yuq2Z6gpJCEdYB4gGym162epYbg2c_JjKbNoKSn6A--</w:t>
        </w:r>
      </w:hyperlink>
    </w:p>
    <w:p>
      <w:pPr>
        <w:pStyle w:val="ListParagraph"/>
        <w:rPr>
          <w:lang w:val="fr-CH"/>
        </w:rPr>
      </w:pPr>
      <w:r>
        <w:rPr>
          <w:lang w:val="fr-CH"/>
        </w:rPr>
      </w:r>
    </w:p>
    <w:p>
      <w:pPr>
        <w:pStyle w:val="ListParagraph"/>
        <w:rPr>
          <w:lang w:val="fr-CH"/>
        </w:rPr>
      </w:pPr>
      <w:r>
        <w:rPr>
          <w:lang w:val="fr-CH"/>
        </w:rPr>
      </w:r>
    </w:p>
    <w:p>
      <w:pPr>
        <w:pStyle w:val="ListParagraph"/>
        <w:rPr>
          <w:lang w:val="fr-CH"/>
        </w:rPr>
      </w:pPr>
      <w:r>
        <w:rPr/>
        <w:drawing>
          <wp:inline distT="0" distB="0" distL="0" distR="0">
            <wp:extent cx="3441700" cy="209994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6"/>
                    <a:stretch>
                      <a:fillRect/>
                    </a:stretch>
                  </pic:blipFill>
                  <pic:spPr bwMode="auto">
                    <a:xfrm>
                      <a:off x="0" y="0"/>
                      <a:ext cx="3441700" cy="2099945"/>
                    </a:xfrm>
                    <a:prstGeom prst="rect">
                      <a:avLst/>
                    </a:prstGeom>
                  </pic:spPr>
                </pic:pic>
              </a:graphicData>
            </a:graphic>
          </wp:inline>
        </w:drawing>
      </w:r>
    </w:p>
    <w:p>
      <w:pPr>
        <w:pStyle w:val="Normal"/>
        <w:rPr>
          <w:lang w:val="fr-CH"/>
        </w:rPr>
      </w:pPr>
      <w:r>
        <w:rPr>
          <w:lang w:val="fr-CH"/>
        </w:rPr>
      </w:r>
    </w:p>
    <w:p>
      <w:pPr>
        <w:pStyle w:val="ListParagraph"/>
        <w:numPr>
          <w:ilvl w:val="0"/>
          <w:numId w:val="2"/>
        </w:numPr>
        <w:spacing w:before="0" w:after="160"/>
        <w:contextualSpacing/>
        <w:rPr/>
      </w:pPr>
      <w:r>
        <w:rPr>
          <w:lang w:val="fr-CH"/>
        </w:rPr>
        <w:t xml:space="preserve">Montrer la part de population immigré dans la population active par tranches d’age. Pour ma part je préfère cette solution. A discuter.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c Quang Nguyen" w:date="2016-05-11T22:38:18Z" w:initials="DQN">
    <w:p>
      <w:r>
        <w:rPr>
          <w:rFonts w:ascii="Calibri" w:hAnsi="Calibri" w:eastAsia="宋体"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fr-CH" w:eastAsia="zh-CN" w:bidi="ar-SA"/>
        </w:rPr>
        <w:t>Remplacer par projection structures démographiques (mettre qques phrases)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6"/>
      <w:numFmt w:val="bullet"/>
      <w:lvlText w:val="-"/>
      <w:lvlJc w:val="left"/>
      <w:pPr>
        <w:ind w:left="1080" w:hanging="360"/>
      </w:pPr>
      <w:rPr>
        <w:rFonts w:ascii="Calibri" w:hAnsi="Calibri" w:cs="Calibri"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it-IT"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Arial" w:asciiTheme="minorHAnsi" w:cstheme="minorBidi" w:eastAsiaTheme="minorEastAsia" w:hAnsiTheme="minorHAnsi"/>
      <w:color w:val="00000A"/>
      <w:sz w:val="22"/>
      <w:szCs w:val="22"/>
      <w:lang w:val="it-IT"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15c8"/>
    <w:rPr>
      <w:color w:val="0563C1" w:themeColor="hyperlink"/>
      <w:u w:val="single"/>
    </w:rPr>
  </w:style>
  <w:style w:type="character" w:styleId="FollowedHyperlink">
    <w:name w:val="FollowedHyperlink"/>
    <w:basedOn w:val="DefaultParagraphFont"/>
    <w:uiPriority w:val="99"/>
    <w:semiHidden/>
    <w:unhideWhenUsed/>
    <w:qFormat/>
    <w:rsid w:val="009a7cba"/>
    <w:rPr>
      <w:color w:val="954F72" w:themeColor="followedHyperlink"/>
      <w:u w:val="single"/>
    </w:rPr>
  </w:style>
  <w:style w:type="character" w:styleId="ListLabel1">
    <w:name w:val="ListLabel 1"/>
    <w:qFormat/>
    <w:rPr>
      <w:rFonts w:eastAsia="宋体"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宋体"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VisitedInternetLink">
    <w:name w:val="Visited Internet Link"/>
    <w:rPr>
      <w:color w:val="800000"/>
      <w:u w:val="single"/>
      <w:lang w:val="zxx" w:eastAsia="zxx" w:bidi="zxx"/>
    </w:rPr>
  </w:style>
  <w:style w:type="character" w:styleId="ListLabel9">
    <w:name w:val="ListLabel 9"/>
    <w:qFormat/>
    <w:rPr>
      <w:rFonts w:cs="Aria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Aria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f615c8"/>
    <w:pPr>
      <w:spacing w:before="0" w:after="160"/>
      <w:ind w:left="720" w:hanging="0"/>
      <w:contextualSpacing/>
    </w:pPr>
    <w:rPr/>
  </w:style>
  <w:style w:type="paragraph" w:styleId="Default" w:customStyle="1">
    <w:name w:val="Default"/>
    <w:qFormat/>
    <w:rsid w:val="000f2cbd"/>
    <w:pPr>
      <w:widowControl/>
      <w:bidi w:val="0"/>
      <w:spacing w:lineRule="auto" w:line="240" w:before="0" w:after="0"/>
      <w:jc w:val="left"/>
    </w:pPr>
    <w:rPr>
      <w:rFonts w:ascii="Times New Roman" w:hAnsi="Times New Roman" w:eastAsia="宋体" w:cs="Times New Roman"/>
      <w:color w:val="000000"/>
      <w:sz w:val="24"/>
      <w:szCs w:val="24"/>
      <w:lang w:val="it-IT" w:eastAsia="zh-CN" w:bidi="ar-SA"/>
    </w:rPr>
  </w:style>
  <w:style w:type="numbering" w:styleId="NoList" w:default="1">
    <w:name w:val="No List"/>
    <w:uiPriority w:val="99"/>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fs.admin.ch/bfs/portal/fr/index/themen/01/06/blank/key/04/04.html" TargetMode="External"/><Relationship Id="rId3" Type="http://schemas.openxmlformats.org/officeDocument/2006/relationships/hyperlink" Target="http://www.bfs.admin.ch/bfs/portal/fr/index/themen/13/02/02/key/finanzen.html" TargetMode="External"/><Relationship Id="rId4" Type="http://schemas.openxmlformats.org/officeDocument/2006/relationships/hyperlink" Target="http://www.bsv.admin.ch/altersvorsorge_2020/03258/03260/index.html?lang=fr&amp;download=NHzLpZeg7t,lnp6I0NTU042l2Z6ln1ae2IZn4Z2qZpnO2Yuq2Z6gpJCDfYJ,fGym162epYbg2c_JjKbNoKSn6A--" TargetMode="External"/><Relationship Id="rId5" Type="http://schemas.openxmlformats.org/officeDocument/2006/relationships/hyperlink" Target="http://www.bsv.admin.ch/altersvorsorge_2020/03265/index.html?lang=it&amp;download=NHzLpZeg7t,lnp6I0NTU042l2Z6ln1ah2oZn4Z2qZpnO2Yuq2Z6gpJCEdYB4gGym162epYbg2c_JjKbNoKSn6A--" TargetMode="Externa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LibreOffice/5.0.6.3$MacOSX_X86_64 LibreOffice_project/490fc03b25318460cfc54456516ea2519c11d1aa</Application>
  <Paragraphs>31</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2016-05-09T14:56:00Z</dcterms:created>
  <dc:creator>Mariani, Daniele (swissinfo)</dc:creator>
  <dc:language>fr-CH</dc:language>
  <cp:lastModifiedBy>Duc Quang Nguyen</cp:lastModifiedBy>
  <dcterms:modified xsi:type="dcterms:W3CDTF">2016-05-23T17:39:58Z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