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18E0FC" w14:textId="77777777" w:rsidR="006E4F81" w:rsidRPr="00762CD5" w:rsidRDefault="00047131">
      <w:pPr>
        <w:rPr>
          <w:rFonts w:ascii="Calibri" w:hAnsi="Calibri"/>
          <w:b/>
          <w:sz w:val="28"/>
          <w:szCs w:val="28"/>
          <w:lang w:val="it-IT"/>
        </w:rPr>
      </w:pPr>
      <w:bookmarkStart w:id="0" w:name="OLE_LINK1"/>
      <w:bookmarkStart w:id="1" w:name="OLE_LINK2"/>
      <w:bookmarkStart w:id="2" w:name="OLE_LINK3"/>
      <w:bookmarkStart w:id="3" w:name="OLE_LINK4"/>
      <w:r>
        <w:rPr>
          <w:rFonts w:ascii="Calibri" w:hAnsi="Calibri"/>
          <w:b/>
          <w:sz w:val="28"/>
          <w:szCs w:val="28"/>
          <w:lang w:val="it-IT"/>
        </w:rPr>
        <w:t>17 novembre 1997</w:t>
      </w:r>
    </w:p>
    <w:p w14:paraId="027BD022" w14:textId="77777777" w:rsidR="00762CD5" w:rsidRDefault="00762CD5">
      <w:pPr>
        <w:rPr>
          <w:rFonts w:ascii="Calibri" w:hAnsi="Calibri"/>
          <w:b/>
          <w:sz w:val="28"/>
          <w:szCs w:val="28"/>
          <w:lang w:val="it-IT"/>
        </w:rPr>
      </w:pPr>
      <w:r w:rsidRPr="00762CD5">
        <w:rPr>
          <w:rFonts w:ascii="Calibri" w:hAnsi="Calibri"/>
          <w:b/>
          <w:sz w:val="28"/>
          <w:szCs w:val="28"/>
          <w:lang w:val="it-IT"/>
        </w:rPr>
        <w:t>T</w:t>
      </w:r>
      <w:r>
        <w:rPr>
          <w:rFonts w:ascii="Calibri" w:hAnsi="Calibri"/>
          <w:b/>
          <w:sz w:val="28"/>
          <w:szCs w:val="28"/>
          <w:lang w:val="it-IT"/>
        </w:rPr>
        <w:t>errorismo, 20 anni dopo la strage di Luxor</w:t>
      </w:r>
    </w:p>
    <w:p w14:paraId="62EC5EBF" w14:textId="77777777" w:rsidR="002B3088" w:rsidRPr="002B3088" w:rsidRDefault="002B3088">
      <w:pPr>
        <w:rPr>
          <w:rFonts w:ascii="Calibri" w:hAnsi="Calibri"/>
          <w:sz w:val="28"/>
          <w:szCs w:val="28"/>
          <w:lang w:val="it-IT"/>
        </w:rPr>
      </w:pPr>
      <w:r w:rsidRPr="002B3088">
        <w:rPr>
          <w:rFonts w:ascii="Calibri" w:hAnsi="Calibri"/>
          <w:sz w:val="28"/>
          <w:szCs w:val="28"/>
          <w:lang w:val="it-IT"/>
        </w:rPr>
        <w:t>di Luigi Jorio e Duc</w:t>
      </w:r>
      <w:r w:rsidR="00F378C3">
        <w:rPr>
          <w:rFonts w:ascii="Calibri" w:hAnsi="Calibri"/>
          <w:sz w:val="28"/>
          <w:szCs w:val="28"/>
          <w:lang w:val="it-IT"/>
        </w:rPr>
        <w:t>-Quang</w:t>
      </w:r>
      <w:r w:rsidRPr="002B3088">
        <w:rPr>
          <w:rFonts w:ascii="Calibri" w:hAnsi="Calibri"/>
          <w:sz w:val="28"/>
          <w:szCs w:val="28"/>
          <w:lang w:val="it-IT"/>
        </w:rPr>
        <w:t xml:space="preserve"> Nguyen</w:t>
      </w:r>
    </w:p>
    <w:p w14:paraId="20FBC0A6" w14:textId="77777777" w:rsidR="002B3088" w:rsidRPr="00762CD5" w:rsidRDefault="002B3088">
      <w:pPr>
        <w:rPr>
          <w:rFonts w:ascii="Calibri" w:hAnsi="Calibri"/>
          <w:b/>
          <w:sz w:val="28"/>
          <w:szCs w:val="28"/>
          <w:lang w:val="it-IT"/>
        </w:rPr>
      </w:pPr>
    </w:p>
    <w:p w14:paraId="751A6310" w14:textId="77777777" w:rsidR="0056533D" w:rsidRPr="007C388A" w:rsidRDefault="00521AEB">
      <w:pPr>
        <w:rPr>
          <w:rFonts w:ascii="Calibri" w:hAnsi="Calibri"/>
          <w:b/>
          <w:sz w:val="28"/>
          <w:szCs w:val="28"/>
          <w:lang w:val="it-IT"/>
        </w:rPr>
      </w:pPr>
      <w:r w:rsidRPr="007C388A">
        <w:rPr>
          <w:rFonts w:ascii="Calibri" w:hAnsi="Calibri"/>
          <w:b/>
          <w:sz w:val="28"/>
          <w:szCs w:val="28"/>
          <w:lang w:val="it-IT"/>
        </w:rPr>
        <w:t xml:space="preserve">Il 17 novembre 1997, 36 turisti svizzeri morirono a Luxor, in Egitto, sotto i colpi di un gruppo di estremisti islamici. Si tratta dell’attentato terroristico più grave contro dei cittadini elvetici. Vent’anni dopo, il terrorismo continua a far paura. Ma </w:t>
      </w:r>
      <w:r w:rsidR="0056533D" w:rsidRPr="007C388A">
        <w:rPr>
          <w:rFonts w:ascii="Calibri" w:hAnsi="Calibri"/>
          <w:b/>
          <w:sz w:val="28"/>
          <w:szCs w:val="28"/>
          <w:lang w:val="it-IT"/>
        </w:rPr>
        <w:t xml:space="preserve">contrariamente a quanto si potrebbe immaginare, gli attacchi </w:t>
      </w:r>
      <w:r w:rsidR="00632481">
        <w:rPr>
          <w:rFonts w:ascii="Calibri" w:hAnsi="Calibri"/>
          <w:b/>
          <w:sz w:val="28"/>
          <w:szCs w:val="28"/>
          <w:lang w:val="it-IT"/>
        </w:rPr>
        <w:t xml:space="preserve">e le vittime </w:t>
      </w:r>
      <w:r w:rsidR="0056533D" w:rsidRPr="007C388A">
        <w:rPr>
          <w:rFonts w:ascii="Calibri" w:hAnsi="Calibri"/>
          <w:b/>
          <w:sz w:val="28"/>
          <w:szCs w:val="28"/>
          <w:lang w:val="it-IT"/>
        </w:rPr>
        <w:t>sono in diminuzione.</w:t>
      </w:r>
    </w:p>
    <w:p w14:paraId="105756F3" w14:textId="77777777" w:rsidR="008B1C06" w:rsidRDefault="00632481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 xml:space="preserve">«Il massacro degli innocenti», «La morte sul Nilo», «Orrore nella Valle dei Re», «Svizzeri massacrati a Luxor»: era il 18 novembre </w:t>
      </w:r>
      <w:proofErr w:type="gramStart"/>
      <w:r>
        <w:rPr>
          <w:rFonts w:ascii="Calibri" w:hAnsi="Calibri"/>
          <w:sz w:val="28"/>
          <w:szCs w:val="28"/>
          <w:lang w:val="it-IT"/>
        </w:rPr>
        <w:t>e</w:t>
      </w:r>
      <w:proofErr w:type="gramEnd"/>
      <w:r w:rsidR="001D21A1">
        <w:rPr>
          <w:rFonts w:ascii="Calibri" w:hAnsi="Calibri"/>
          <w:sz w:val="28"/>
          <w:szCs w:val="28"/>
          <w:lang w:val="it-IT"/>
        </w:rPr>
        <w:t xml:space="preserve"> su tutte </w:t>
      </w:r>
      <w:r>
        <w:rPr>
          <w:rFonts w:ascii="Calibri" w:hAnsi="Calibri"/>
          <w:sz w:val="28"/>
          <w:szCs w:val="28"/>
          <w:lang w:val="it-IT"/>
        </w:rPr>
        <w:t xml:space="preserve">le prime pagine dei quotidiani elvetici </w:t>
      </w:r>
      <w:r w:rsidR="001D21A1">
        <w:rPr>
          <w:rFonts w:ascii="Calibri" w:hAnsi="Calibri"/>
          <w:sz w:val="28"/>
          <w:szCs w:val="28"/>
          <w:lang w:val="it-IT"/>
        </w:rPr>
        <w:t>c’era la notizia della strage del giorno prima.</w:t>
      </w:r>
    </w:p>
    <w:p w14:paraId="01AF5EC1" w14:textId="77777777" w:rsidR="0056533D" w:rsidRDefault="001D21A1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 xml:space="preserve">Sul sito archeologico di </w:t>
      </w:r>
      <w:hyperlink r:id="rId5" w:history="1">
        <w:proofErr w:type="spellStart"/>
        <w:r w:rsidRPr="00113513">
          <w:rPr>
            <w:rStyle w:val="Hyperlink"/>
            <w:rFonts w:ascii="Calibri" w:hAnsi="Calibri"/>
            <w:sz w:val="28"/>
            <w:szCs w:val="28"/>
            <w:lang w:val="it-IT"/>
          </w:rPr>
          <w:t>Deir</w:t>
        </w:r>
        <w:proofErr w:type="spellEnd"/>
        <w:r w:rsidRPr="00113513">
          <w:rPr>
            <w:rStyle w:val="Hyperlink"/>
            <w:rFonts w:ascii="Calibri" w:hAnsi="Calibri"/>
            <w:sz w:val="28"/>
            <w:szCs w:val="28"/>
            <w:lang w:val="it-IT"/>
          </w:rPr>
          <w:t xml:space="preserve"> </w:t>
        </w:r>
        <w:proofErr w:type="spellStart"/>
        <w:r w:rsidRPr="00113513">
          <w:rPr>
            <w:rStyle w:val="Hyperlink"/>
            <w:rFonts w:ascii="Calibri" w:hAnsi="Calibri"/>
            <w:sz w:val="28"/>
            <w:szCs w:val="28"/>
            <w:lang w:val="it-IT"/>
          </w:rPr>
          <w:t>el-Bahari</w:t>
        </w:r>
        <w:proofErr w:type="spellEnd"/>
      </w:hyperlink>
      <w:r>
        <w:rPr>
          <w:rFonts w:ascii="Calibri" w:hAnsi="Calibri"/>
          <w:sz w:val="28"/>
          <w:szCs w:val="28"/>
          <w:lang w:val="it-IT"/>
        </w:rPr>
        <w:t xml:space="preserve">, nei pressi di Luxor, un gruppo di terroristi appartenenti all’organizzazione islamista </w:t>
      </w:r>
      <w:r w:rsidR="00A74FCB">
        <w:rPr>
          <w:rFonts w:ascii="Calibri" w:hAnsi="Calibri"/>
          <w:sz w:val="28"/>
          <w:szCs w:val="28"/>
          <w:lang w:val="it-IT"/>
        </w:rPr>
        <w:t>al-</w:t>
      </w:r>
      <w:proofErr w:type="spellStart"/>
      <w:r>
        <w:rPr>
          <w:rFonts w:ascii="Calibri" w:hAnsi="Calibri"/>
          <w:sz w:val="28"/>
          <w:szCs w:val="28"/>
          <w:lang w:val="it-IT"/>
        </w:rPr>
        <w:t>Gama</w:t>
      </w:r>
      <w:r w:rsidR="00A74FCB">
        <w:rPr>
          <w:rFonts w:ascii="Calibri" w:hAnsi="Calibri"/>
          <w:sz w:val="28"/>
          <w:szCs w:val="28"/>
          <w:lang w:val="it-IT"/>
        </w:rPr>
        <w:t>’</w:t>
      </w:r>
      <w:r>
        <w:rPr>
          <w:rFonts w:ascii="Calibri" w:hAnsi="Calibri"/>
          <w:sz w:val="28"/>
          <w:szCs w:val="28"/>
          <w:lang w:val="it-IT"/>
        </w:rPr>
        <w:t>a</w:t>
      </w:r>
      <w:r w:rsidR="00A74FCB">
        <w:rPr>
          <w:rFonts w:ascii="Calibri" w:hAnsi="Calibri"/>
          <w:sz w:val="28"/>
          <w:szCs w:val="28"/>
          <w:lang w:val="it-IT"/>
        </w:rPr>
        <w:t>t</w:t>
      </w:r>
      <w:proofErr w:type="spellEnd"/>
      <w:r w:rsidR="00A74FCB">
        <w:rPr>
          <w:rFonts w:ascii="Calibri" w:hAnsi="Calibri"/>
          <w:sz w:val="28"/>
          <w:szCs w:val="28"/>
          <w:lang w:val="it-IT"/>
        </w:rPr>
        <w:t xml:space="preserve"> al-</w:t>
      </w:r>
      <w:proofErr w:type="spellStart"/>
      <w:r w:rsidR="00A74FCB">
        <w:rPr>
          <w:rFonts w:ascii="Calibri" w:hAnsi="Calibri"/>
          <w:sz w:val="28"/>
          <w:szCs w:val="28"/>
          <w:lang w:val="it-IT"/>
        </w:rPr>
        <w:t>Islamiyy</w:t>
      </w:r>
      <w:r w:rsidR="00113513">
        <w:rPr>
          <w:rFonts w:ascii="Calibri" w:hAnsi="Calibri"/>
          <w:sz w:val="28"/>
          <w:szCs w:val="28"/>
          <w:lang w:val="it-IT"/>
        </w:rPr>
        <w:t>a</w:t>
      </w:r>
      <w:proofErr w:type="spellEnd"/>
      <w:r>
        <w:rPr>
          <w:rFonts w:ascii="Calibri" w:hAnsi="Calibri"/>
          <w:sz w:val="28"/>
          <w:szCs w:val="28"/>
          <w:lang w:val="it-IT"/>
        </w:rPr>
        <w:t xml:space="preserve"> aveva aperto il fuoco contro una comitiva di turisti. Pesante il bilancio: 62 morti, di cui 36 svizzeri.</w:t>
      </w:r>
    </w:p>
    <w:p w14:paraId="3FD2C79D" w14:textId="77777777" w:rsidR="00113513" w:rsidRDefault="00113513">
      <w:pPr>
        <w:rPr>
          <w:rFonts w:ascii="Calibri" w:hAnsi="Calibri"/>
          <w:sz w:val="28"/>
          <w:szCs w:val="28"/>
          <w:lang w:val="it-IT"/>
        </w:rPr>
      </w:pPr>
      <w:r w:rsidRPr="00113513">
        <w:rPr>
          <w:rFonts w:ascii="Calibri" w:hAnsi="Calibri"/>
          <w:sz w:val="28"/>
          <w:szCs w:val="28"/>
          <w:highlight w:val="yellow"/>
          <w:lang w:val="it-IT"/>
        </w:rPr>
        <w:t xml:space="preserve">INSERT ARCHIVE </w:t>
      </w:r>
      <w:r w:rsidR="008B1C06">
        <w:rPr>
          <w:rFonts w:ascii="Calibri" w:hAnsi="Calibri"/>
          <w:sz w:val="28"/>
          <w:szCs w:val="28"/>
          <w:highlight w:val="yellow"/>
          <w:lang w:val="it-IT"/>
        </w:rPr>
        <w:t xml:space="preserve">SSR </w:t>
      </w:r>
      <w:r w:rsidRPr="00113513">
        <w:rPr>
          <w:rFonts w:ascii="Calibri" w:hAnsi="Calibri"/>
          <w:sz w:val="28"/>
          <w:szCs w:val="28"/>
          <w:highlight w:val="yellow"/>
          <w:lang w:val="it-IT"/>
        </w:rPr>
        <w:t>VIDEO</w:t>
      </w:r>
    </w:p>
    <w:p w14:paraId="1440A00A" w14:textId="77777777" w:rsidR="008C332A" w:rsidRDefault="008C332A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 xml:space="preserve">Dal 1970, le vittime svizzere di attentati </w:t>
      </w:r>
      <w:r w:rsidR="00E26EEA">
        <w:rPr>
          <w:rFonts w:ascii="Calibri" w:hAnsi="Calibri"/>
          <w:sz w:val="28"/>
          <w:szCs w:val="28"/>
          <w:lang w:val="it-IT"/>
        </w:rPr>
        <w:t>terroristici sono state una sessantina. Quello di Luxor rimane ad oggi il peggior attacco contro dei cittadini elvetici.</w:t>
      </w:r>
    </w:p>
    <w:p w14:paraId="0E486D7D" w14:textId="77777777" w:rsidR="00E26EEA" w:rsidRDefault="00E26EEA">
      <w:pPr>
        <w:rPr>
          <w:rFonts w:ascii="Calibri" w:hAnsi="Calibri"/>
          <w:sz w:val="28"/>
          <w:szCs w:val="28"/>
          <w:lang w:val="it-IT"/>
        </w:rPr>
      </w:pPr>
      <w:r w:rsidRPr="00E26EEA">
        <w:rPr>
          <w:rFonts w:ascii="Calibri" w:hAnsi="Calibri"/>
          <w:sz w:val="28"/>
          <w:szCs w:val="28"/>
          <w:highlight w:val="yellow"/>
          <w:lang w:val="it-IT"/>
        </w:rPr>
        <w:t>INSERT GRAPHIC SWISS VICTIMS</w:t>
      </w:r>
    </w:p>
    <w:p w14:paraId="0B9CFD53" w14:textId="77777777" w:rsidR="00283BAB" w:rsidRDefault="002A16EE">
      <w:pPr>
        <w:rPr>
          <w:rFonts w:ascii="Calibri" w:hAnsi="Calibri"/>
          <w:sz w:val="28"/>
          <w:szCs w:val="28"/>
          <w:lang w:val="it-IT"/>
        </w:rPr>
      </w:pPr>
      <w:hyperlink r:id="rId6" w:history="1">
        <w:r w:rsidR="00283BAB" w:rsidRPr="00CE39D8">
          <w:rPr>
            <w:rStyle w:val="Hyperlink"/>
            <w:rFonts w:ascii="Calibri" w:hAnsi="Calibri"/>
            <w:sz w:val="28"/>
            <w:szCs w:val="28"/>
            <w:lang w:val="it-IT"/>
          </w:rPr>
          <w:t>https://datawrapper.dwcdn.net/uMDaP/1/</w:t>
        </w:r>
      </w:hyperlink>
    </w:p>
    <w:p w14:paraId="20AF1360" w14:textId="77777777" w:rsidR="00474947" w:rsidRDefault="00474947">
      <w:pPr>
        <w:rPr>
          <w:rFonts w:ascii="Calibri" w:hAnsi="Calibri"/>
          <w:sz w:val="28"/>
          <w:szCs w:val="28"/>
          <w:lang w:val="it-IT"/>
        </w:rPr>
      </w:pPr>
    </w:p>
    <w:p w14:paraId="77870285" w14:textId="77777777" w:rsidR="00474947" w:rsidRDefault="00474947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noProof/>
          <w:sz w:val="28"/>
          <w:szCs w:val="28"/>
          <w:lang w:val="en-GB"/>
        </w:rPr>
        <w:drawing>
          <wp:inline distT="0" distB="0" distL="0" distR="0" wp14:anchorId="4209FC8B" wp14:editId="142A3684">
            <wp:extent cx="6645910" cy="41052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rro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8E72" w14:textId="77777777" w:rsidR="00474947" w:rsidRDefault="00474947">
      <w:pPr>
        <w:rPr>
          <w:rFonts w:ascii="Calibri" w:hAnsi="Calibri"/>
          <w:sz w:val="28"/>
          <w:szCs w:val="28"/>
          <w:lang w:val="it-IT"/>
        </w:rPr>
      </w:pPr>
    </w:p>
    <w:p w14:paraId="58FD7511" w14:textId="77777777" w:rsidR="00E26EEA" w:rsidRDefault="00283BAB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>Gli svizzeri non sono ovviamente le uniche vittime del terrorismo. E l’Egitto non è il solo paese confrontato col fenomeno. Tra il 2012 e il 2016, gli attacchi terroristici nel mondo sono stati oltre 33'000 e hanno causato più di 153'000 morti</w:t>
      </w:r>
      <w:r w:rsidR="00474947">
        <w:rPr>
          <w:rFonts w:ascii="PMingLiU" w:eastAsia="PMingLiU" w:hAnsi="PMingLiU" w:hint="eastAsia"/>
          <w:sz w:val="28"/>
          <w:szCs w:val="28"/>
          <w:lang w:val="it-IT" w:eastAsia="zh-TW"/>
        </w:rPr>
        <w:t xml:space="preserve"> </w:t>
      </w:r>
      <w:r w:rsidR="00474947" w:rsidRPr="00474947">
        <w:rPr>
          <w:rFonts w:ascii="Calibri" w:hAnsi="Calibri"/>
          <w:sz w:val="28"/>
          <w:szCs w:val="28"/>
          <w:lang w:val="it-IT"/>
        </w:rPr>
        <w:t>in decine di paesi,</w:t>
      </w:r>
      <w:r>
        <w:rPr>
          <w:rFonts w:ascii="Calibri" w:hAnsi="Calibri"/>
          <w:sz w:val="28"/>
          <w:szCs w:val="28"/>
          <w:lang w:val="it-IT"/>
        </w:rPr>
        <w:t xml:space="preserve"> secondo il </w:t>
      </w:r>
      <w:hyperlink r:id="rId8" w:history="1">
        <w:r w:rsidRPr="00283BAB">
          <w:rPr>
            <w:rStyle w:val="Hyperlink"/>
            <w:rFonts w:ascii="Calibri" w:hAnsi="Calibri"/>
            <w:sz w:val="28"/>
            <w:szCs w:val="28"/>
            <w:lang w:val="it-IT"/>
          </w:rPr>
          <w:t xml:space="preserve">Global </w:t>
        </w:r>
        <w:proofErr w:type="spellStart"/>
        <w:r w:rsidRPr="00283BAB">
          <w:rPr>
            <w:rStyle w:val="Hyperlink"/>
            <w:rFonts w:ascii="Calibri" w:hAnsi="Calibri"/>
            <w:sz w:val="28"/>
            <w:szCs w:val="28"/>
            <w:lang w:val="it-IT"/>
          </w:rPr>
          <w:t>Terrorism</w:t>
        </w:r>
        <w:proofErr w:type="spellEnd"/>
        <w:r w:rsidRPr="00283BAB">
          <w:rPr>
            <w:rStyle w:val="Hyperlink"/>
            <w:rFonts w:ascii="Calibri" w:hAnsi="Calibri"/>
            <w:sz w:val="28"/>
            <w:szCs w:val="28"/>
            <w:lang w:val="it-IT"/>
          </w:rPr>
          <w:t xml:space="preserve"> Database</w:t>
        </w:r>
      </w:hyperlink>
      <w:r>
        <w:rPr>
          <w:rFonts w:ascii="Calibri" w:hAnsi="Calibri"/>
          <w:sz w:val="28"/>
          <w:szCs w:val="28"/>
          <w:lang w:val="it-IT"/>
        </w:rPr>
        <w:t xml:space="preserve"> </w:t>
      </w:r>
      <w:r w:rsidR="00B615BC">
        <w:rPr>
          <w:rFonts w:ascii="Calibri" w:hAnsi="Calibri"/>
          <w:sz w:val="28"/>
          <w:szCs w:val="28"/>
          <w:lang w:val="it-IT"/>
        </w:rPr>
        <w:t xml:space="preserve">(GTD) </w:t>
      </w:r>
      <w:r>
        <w:rPr>
          <w:rFonts w:ascii="Calibri" w:hAnsi="Calibri"/>
          <w:sz w:val="28"/>
          <w:szCs w:val="28"/>
          <w:lang w:val="it-IT"/>
        </w:rPr>
        <w:t>dell’Università del Maryland, la più ampia banca dati sul terrorismo</w:t>
      </w:r>
      <w:r w:rsidR="004532A2">
        <w:rPr>
          <w:rFonts w:ascii="Calibri" w:hAnsi="Calibri"/>
          <w:sz w:val="28"/>
          <w:szCs w:val="28"/>
          <w:lang w:val="it-IT"/>
        </w:rPr>
        <w:t>*</w:t>
      </w:r>
      <w:r>
        <w:rPr>
          <w:rFonts w:ascii="Calibri" w:hAnsi="Calibri"/>
          <w:sz w:val="28"/>
          <w:szCs w:val="28"/>
          <w:lang w:val="it-IT"/>
        </w:rPr>
        <w:t xml:space="preserve">. </w:t>
      </w:r>
      <w:r w:rsidR="00474947">
        <w:rPr>
          <w:rFonts w:ascii="Calibri" w:hAnsi="Calibri"/>
          <w:sz w:val="28"/>
          <w:szCs w:val="28"/>
          <w:lang w:val="it-IT"/>
        </w:rPr>
        <w:t>Con quasi 6'300 vittime, i</w:t>
      </w:r>
      <w:r>
        <w:rPr>
          <w:rFonts w:ascii="Calibri" w:hAnsi="Calibri"/>
          <w:sz w:val="28"/>
          <w:szCs w:val="28"/>
          <w:lang w:val="it-IT"/>
        </w:rPr>
        <w:t>l giugno 2014 è stato il mese più nero.</w:t>
      </w:r>
    </w:p>
    <w:p w14:paraId="0E80FC39" w14:textId="77777777" w:rsidR="00DE5D01" w:rsidRPr="00EB73DC" w:rsidRDefault="00DE5D01">
      <w:pPr>
        <w:rPr>
          <w:rFonts w:ascii="Calibri" w:hAnsi="Calibri"/>
          <w:sz w:val="28"/>
          <w:szCs w:val="28"/>
          <w:lang w:val="fr-CH"/>
        </w:rPr>
      </w:pPr>
    </w:p>
    <w:p w14:paraId="0558D188" w14:textId="77777777" w:rsidR="00DC6BA1" w:rsidRPr="00474947" w:rsidRDefault="00474947">
      <w:pPr>
        <w:rPr>
          <w:rFonts w:ascii="Calibri" w:hAnsi="Calibri"/>
          <w:sz w:val="28"/>
          <w:szCs w:val="28"/>
          <w:lang w:val="en-US"/>
        </w:rPr>
      </w:pPr>
      <w:r w:rsidRPr="00474947">
        <w:rPr>
          <w:rFonts w:ascii="Calibri" w:hAnsi="Calibri"/>
          <w:sz w:val="28"/>
          <w:szCs w:val="28"/>
          <w:highlight w:val="yellow"/>
          <w:lang w:val="en-US"/>
        </w:rPr>
        <w:t>INSERT MAP GEOGRAPHY OF TERRORISM</w:t>
      </w:r>
    </w:p>
    <w:p w14:paraId="3B6AF213" w14:textId="77777777" w:rsidR="00DC6BA1" w:rsidRPr="00474947" w:rsidRDefault="002A16EE">
      <w:pPr>
        <w:rPr>
          <w:rFonts w:ascii="Calibri" w:hAnsi="Calibri"/>
          <w:sz w:val="28"/>
          <w:szCs w:val="28"/>
          <w:lang w:val="en-US"/>
        </w:rPr>
      </w:pPr>
      <w:hyperlink r:id="rId9" w:history="1">
        <w:r w:rsidR="00283BAB" w:rsidRPr="00474947">
          <w:rPr>
            <w:rStyle w:val="Hyperlink"/>
            <w:rFonts w:ascii="Calibri" w:hAnsi="Calibri"/>
            <w:sz w:val="28"/>
            <w:szCs w:val="28"/>
            <w:lang w:val="en-US"/>
          </w:rPr>
          <w:t>https://interactive.swissinfo.ch/2017_11_02_terrorismDeaths/terrorismDeathMap_FR.gif</w:t>
        </w:r>
      </w:hyperlink>
    </w:p>
    <w:p w14:paraId="10D58810" w14:textId="77777777" w:rsidR="00283BAB" w:rsidRPr="00474947" w:rsidRDefault="00283BAB">
      <w:pPr>
        <w:rPr>
          <w:rFonts w:ascii="Calibri" w:hAnsi="Calibri"/>
          <w:sz w:val="28"/>
          <w:szCs w:val="28"/>
          <w:lang w:val="en-US"/>
        </w:rPr>
      </w:pPr>
    </w:p>
    <w:p w14:paraId="6AD19A63" w14:textId="77777777" w:rsidR="00DC6BA1" w:rsidRDefault="00474947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noProof/>
          <w:sz w:val="28"/>
          <w:szCs w:val="28"/>
          <w:lang w:val="en-GB"/>
        </w:rPr>
        <w:drawing>
          <wp:inline distT="0" distB="0" distL="0" distR="0" wp14:anchorId="327A2D83" wp14:editId="1430BFFA">
            <wp:extent cx="6645910" cy="38525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rror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BA3C" w14:textId="77777777" w:rsidR="00DC6BA1" w:rsidRDefault="00DC6BA1">
      <w:pPr>
        <w:rPr>
          <w:rFonts w:ascii="Calibri" w:hAnsi="Calibri"/>
          <w:sz w:val="28"/>
          <w:szCs w:val="28"/>
          <w:lang w:val="it-IT"/>
        </w:rPr>
      </w:pPr>
    </w:p>
    <w:p w14:paraId="1721436D" w14:textId="77777777" w:rsidR="00D67FD8" w:rsidRDefault="008C233A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 xml:space="preserve">In particolare dopo l’attentato del gennaio 2015 a Charlie </w:t>
      </w:r>
      <w:proofErr w:type="spellStart"/>
      <w:r>
        <w:rPr>
          <w:rFonts w:ascii="Calibri" w:hAnsi="Calibri"/>
          <w:sz w:val="28"/>
          <w:szCs w:val="28"/>
          <w:lang w:val="it-IT"/>
        </w:rPr>
        <w:t>Hebdo</w:t>
      </w:r>
      <w:proofErr w:type="spellEnd"/>
      <w:r>
        <w:rPr>
          <w:rFonts w:ascii="Calibri" w:hAnsi="Calibri"/>
          <w:sz w:val="28"/>
          <w:szCs w:val="28"/>
          <w:lang w:val="it-IT"/>
        </w:rPr>
        <w:t xml:space="preserve">, a Parigi, </w:t>
      </w:r>
      <w:r w:rsidR="0023122E">
        <w:rPr>
          <w:rFonts w:ascii="Calibri" w:hAnsi="Calibri"/>
          <w:sz w:val="28"/>
          <w:szCs w:val="28"/>
          <w:lang w:val="it-IT"/>
        </w:rPr>
        <w:t>la minaccia terroristica è ritornata in primo piano in Europa.</w:t>
      </w:r>
      <w:r>
        <w:rPr>
          <w:rFonts w:ascii="Calibri" w:hAnsi="Calibri"/>
          <w:sz w:val="28"/>
          <w:szCs w:val="28"/>
          <w:lang w:val="it-IT"/>
        </w:rPr>
        <w:t xml:space="preserve"> Dalla capitale francese a Bruxelles, da Londra a Berlino, senza dimenticare il recente attacco a Barcellona, il terrorismo </w:t>
      </w:r>
      <w:r w:rsidR="009A7CBA">
        <w:rPr>
          <w:rFonts w:ascii="Calibri" w:hAnsi="Calibri"/>
          <w:sz w:val="28"/>
          <w:szCs w:val="28"/>
          <w:lang w:val="it-IT"/>
        </w:rPr>
        <w:t>ha colpito</w:t>
      </w:r>
      <w:r>
        <w:rPr>
          <w:rFonts w:ascii="Calibri" w:hAnsi="Calibri"/>
          <w:sz w:val="28"/>
          <w:szCs w:val="28"/>
          <w:lang w:val="it-IT"/>
        </w:rPr>
        <w:t xml:space="preserve"> periodicamente le principali città del continente.</w:t>
      </w:r>
    </w:p>
    <w:p w14:paraId="722465D7" w14:textId="77777777" w:rsidR="008C233A" w:rsidRDefault="004250F7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>Tuttavia, l’Europa non è il principale teatro</w:t>
      </w:r>
      <w:r w:rsidR="00F5505F">
        <w:rPr>
          <w:rFonts w:ascii="Calibri" w:hAnsi="Calibri"/>
          <w:sz w:val="28"/>
          <w:szCs w:val="28"/>
          <w:lang w:val="it-IT"/>
        </w:rPr>
        <w:t xml:space="preserve"> di </w:t>
      </w:r>
      <w:commentRangeStart w:id="4"/>
      <w:r w:rsidR="00F5505F">
        <w:rPr>
          <w:rFonts w:ascii="Calibri" w:hAnsi="Calibri"/>
          <w:sz w:val="28"/>
          <w:szCs w:val="28"/>
          <w:lang w:val="it-IT"/>
        </w:rPr>
        <w:t>violenze</w:t>
      </w:r>
      <w:commentRangeEnd w:id="4"/>
      <w:r w:rsidR="003F56DD">
        <w:rPr>
          <w:rStyle w:val="CommentReference"/>
        </w:rPr>
        <w:commentReference w:id="4"/>
      </w:r>
      <w:r w:rsidR="00F5505F">
        <w:rPr>
          <w:rFonts w:ascii="Calibri" w:hAnsi="Calibri"/>
          <w:sz w:val="28"/>
          <w:szCs w:val="28"/>
          <w:lang w:val="it-IT"/>
        </w:rPr>
        <w:t>. Come illustra il seguente grafico, la stragrande maggioranza delle vittime degli attentati si concentra in cinque paesi dell’Asia e dell’Africa.</w:t>
      </w:r>
    </w:p>
    <w:p w14:paraId="7963E09D" w14:textId="77777777" w:rsidR="008C233A" w:rsidRDefault="008C233A">
      <w:pPr>
        <w:rPr>
          <w:rFonts w:ascii="Calibri" w:hAnsi="Calibri"/>
          <w:sz w:val="28"/>
          <w:szCs w:val="28"/>
          <w:lang w:val="it-IT"/>
        </w:rPr>
      </w:pPr>
    </w:p>
    <w:p w14:paraId="07ACDC74" w14:textId="77777777" w:rsidR="00CE755A" w:rsidRDefault="006B68F0">
      <w:pPr>
        <w:rPr>
          <w:rFonts w:ascii="Calibri" w:hAnsi="Calibri"/>
          <w:sz w:val="28"/>
          <w:szCs w:val="28"/>
          <w:lang w:val="it-IT"/>
        </w:rPr>
      </w:pPr>
      <w:r w:rsidRPr="006B68F0">
        <w:rPr>
          <w:rFonts w:ascii="Calibri" w:hAnsi="Calibri"/>
          <w:sz w:val="28"/>
          <w:szCs w:val="28"/>
          <w:highlight w:val="yellow"/>
          <w:lang w:val="it-IT"/>
        </w:rPr>
        <w:t>INESERT GRAPHIC VICTIMS/COUNTRIES</w:t>
      </w:r>
    </w:p>
    <w:p w14:paraId="0D91F389" w14:textId="77777777" w:rsidR="00DC6BA1" w:rsidRDefault="002A16EE">
      <w:pPr>
        <w:rPr>
          <w:rFonts w:ascii="Calibri" w:hAnsi="Calibri"/>
          <w:sz w:val="28"/>
          <w:szCs w:val="28"/>
          <w:lang w:val="it-IT"/>
        </w:rPr>
      </w:pPr>
      <w:hyperlink r:id="rId13" w:history="1">
        <w:r w:rsidR="00474947" w:rsidRPr="00CE39D8">
          <w:rPr>
            <w:rStyle w:val="Hyperlink"/>
            <w:rFonts w:ascii="Calibri" w:hAnsi="Calibri"/>
            <w:sz w:val="28"/>
            <w:szCs w:val="28"/>
            <w:lang w:val="it-IT"/>
          </w:rPr>
          <w:t>https://interactive.swissinfo.ch/2017_11_02_terrorismDeaths/area_terrorismDeath_EN.html</w:t>
        </w:r>
      </w:hyperlink>
    </w:p>
    <w:p w14:paraId="33387462" w14:textId="77777777" w:rsidR="00474947" w:rsidRDefault="00474947">
      <w:pPr>
        <w:rPr>
          <w:rFonts w:ascii="Calibri" w:hAnsi="Calibri"/>
          <w:sz w:val="28"/>
          <w:szCs w:val="28"/>
          <w:lang w:val="it-IT"/>
        </w:rPr>
      </w:pPr>
    </w:p>
    <w:p w14:paraId="17D5B47D" w14:textId="77777777" w:rsidR="00474947" w:rsidRDefault="00474947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noProof/>
          <w:sz w:val="28"/>
          <w:szCs w:val="28"/>
          <w:lang w:val="en-GB"/>
        </w:rPr>
        <w:lastRenderedPageBreak/>
        <w:drawing>
          <wp:inline distT="0" distB="0" distL="0" distR="0" wp14:anchorId="2D4194F1" wp14:editId="47FBA117">
            <wp:extent cx="6645910" cy="6172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rror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7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9CD90" w14:textId="77777777" w:rsidR="00283BAB" w:rsidRDefault="00283BAB">
      <w:pPr>
        <w:rPr>
          <w:rFonts w:ascii="Calibri" w:hAnsi="Calibri"/>
          <w:sz w:val="28"/>
          <w:szCs w:val="28"/>
          <w:lang w:val="it-IT"/>
        </w:rPr>
      </w:pPr>
    </w:p>
    <w:p w14:paraId="67D00951" w14:textId="77777777" w:rsidR="00F5505F" w:rsidRDefault="001B16F8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 xml:space="preserve">Nonostante il costante aumento degli attentati dall’inizio del Millennio, collegati in gran parte alle attività di Al </w:t>
      </w:r>
      <w:proofErr w:type="spellStart"/>
      <w:r>
        <w:rPr>
          <w:rFonts w:ascii="Calibri" w:hAnsi="Calibri"/>
          <w:sz w:val="28"/>
          <w:szCs w:val="28"/>
          <w:lang w:val="it-IT"/>
        </w:rPr>
        <w:t>Qaida</w:t>
      </w:r>
      <w:proofErr w:type="spellEnd"/>
      <w:r>
        <w:rPr>
          <w:rFonts w:ascii="Calibri" w:hAnsi="Calibri"/>
          <w:sz w:val="28"/>
          <w:szCs w:val="28"/>
          <w:lang w:val="it-IT"/>
        </w:rPr>
        <w:t xml:space="preserve">, dei Talebani, di </w:t>
      </w:r>
      <w:proofErr w:type="spellStart"/>
      <w:r>
        <w:rPr>
          <w:rFonts w:ascii="Calibri" w:hAnsi="Calibri"/>
          <w:sz w:val="28"/>
          <w:szCs w:val="28"/>
          <w:lang w:val="it-IT"/>
        </w:rPr>
        <w:t>Boko</w:t>
      </w:r>
      <w:proofErr w:type="spellEnd"/>
      <w:r>
        <w:rPr>
          <w:rFonts w:ascii="Calibri" w:hAnsi="Calibri"/>
          <w:sz w:val="28"/>
          <w:szCs w:val="28"/>
          <w:lang w:val="it-IT"/>
        </w:rPr>
        <w:t xml:space="preserve"> </w:t>
      </w:r>
      <w:proofErr w:type="spellStart"/>
      <w:r>
        <w:rPr>
          <w:rFonts w:ascii="Calibri" w:hAnsi="Calibri"/>
          <w:sz w:val="28"/>
          <w:szCs w:val="28"/>
          <w:lang w:val="it-IT"/>
        </w:rPr>
        <w:t>Haram</w:t>
      </w:r>
      <w:proofErr w:type="spellEnd"/>
      <w:r>
        <w:rPr>
          <w:rFonts w:ascii="Calibri" w:hAnsi="Calibri"/>
          <w:sz w:val="28"/>
          <w:szCs w:val="28"/>
          <w:lang w:val="it-IT"/>
        </w:rPr>
        <w:t xml:space="preserve"> e del sedicente Stato islamico, gli atti terroristici nel mondo sono in c</w:t>
      </w:r>
      <w:r w:rsidR="00B615BC">
        <w:rPr>
          <w:rFonts w:ascii="Calibri" w:hAnsi="Calibri"/>
          <w:sz w:val="28"/>
          <w:szCs w:val="28"/>
          <w:lang w:val="it-IT"/>
        </w:rPr>
        <w:t>alo, indica il GTD.</w:t>
      </w:r>
      <w:r>
        <w:rPr>
          <w:rFonts w:ascii="Calibri" w:hAnsi="Calibri"/>
          <w:sz w:val="28"/>
          <w:szCs w:val="28"/>
          <w:lang w:val="it-IT"/>
        </w:rPr>
        <w:t xml:space="preserve"> Dopo il picco del 2014, sia il numero di attacchi sia quello delle vittime sono diminuiti nel 2015 e nel 2016.</w:t>
      </w:r>
    </w:p>
    <w:p w14:paraId="330259F1" w14:textId="77777777" w:rsidR="00F5505F" w:rsidRPr="001B16F8" w:rsidRDefault="00F5505F">
      <w:pPr>
        <w:rPr>
          <w:rFonts w:ascii="Calibri" w:hAnsi="Calibri"/>
          <w:sz w:val="28"/>
          <w:szCs w:val="28"/>
          <w:lang w:val="it-IT"/>
        </w:rPr>
      </w:pPr>
    </w:p>
    <w:p w14:paraId="7C415381" w14:textId="77777777" w:rsidR="006B68F0" w:rsidRPr="006B68F0" w:rsidRDefault="006B68F0">
      <w:pPr>
        <w:rPr>
          <w:rFonts w:ascii="Calibri" w:hAnsi="Calibri"/>
          <w:sz w:val="28"/>
          <w:szCs w:val="28"/>
          <w:lang w:val="en-US"/>
        </w:rPr>
      </w:pPr>
      <w:r w:rsidRPr="006B68F0">
        <w:rPr>
          <w:rFonts w:ascii="Calibri" w:hAnsi="Calibri"/>
          <w:sz w:val="28"/>
          <w:szCs w:val="28"/>
          <w:highlight w:val="yellow"/>
          <w:lang w:val="en-US"/>
        </w:rPr>
        <w:t>INSERT DATAWRAPPER EVOLUTION OF TERRORISM</w:t>
      </w:r>
    </w:p>
    <w:p w14:paraId="712D7DB6" w14:textId="77777777" w:rsidR="00283BAB" w:rsidRDefault="002A16EE">
      <w:pPr>
        <w:rPr>
          <w:rFonts w:ascii="Calibri" w:hAnsi="Calibri"/>
          <w:sz w:val="28"/>
          <w:szCs w:val="28"/>
          <w:lang w:val="it-IT"/>
        </w:rPr>
      </w:pPr>
      <w:hyperlink r:id="rId15" w:history="1">
        <w:r w:rsidR="00474947" w:rsidRPr="00CE39D8">
          <w:rPr>
            <w:rStyle w:val="Hyperlink"/>
            <w:rFonts w:ascii="Calibri" w:hAnsi="Calibri"/>
            <w:sz w:val="28"/>
            <w:szCs w:val="28"/>
            <w:lang w:val="it-IT"/>
          </w:rPr>
          <w:t>https://datawrapper.dwcdn.net/7kWBw/2/</w:t>
        </w:r>
      </w:hyperlink>
    </w:p>
    <w:p w14:paraId="793CA713" w14:textId="77777777" w:rsidR="00474947" w:rsidRDefault="00474947">
      <w:pPr>
        <w:rPr>
          <w:rFonts w:ascii="Calibri" w:hAnsi="Calibri"/>
          <w:sz w:val="28"/>
          <w:szCs w:val="28"/>
          <w:lang w:val="it-IT"/>
        </w:rPr>
      </w:pPr>
    </w:p>
    <w:p w14:paraId="26E27CC3" w14:textId="77777777" w:rsidR="00474947" w:rsidRDefault="00474947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noProof/>
          <w:sz w:val="28"/>
          <w:szCs w:val="28"/>
          <w:lang w:val="en-GB"/>
        </w:rPr>
        <w:lastRenderedPageBreak/>
        <w:drawing>
          <wp:inline distT="0" distB="0" distL="0" distR="0" wp14:anchorId="1B5FCA65" wp14:editId="44E452C4">
            <wp:extent cx="6645910" cy="37915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rror1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91E3A" w14:textId="77777777" w:rsidR="00AF0AC5" w:rsidRDefault="00AF0AC5">
      <w:pPr>
        <w:rPr>
          <w:rFonts w:ascii="Calibri" w:hAnsi="Calibri"/>
          <w:sz w:val="28"/>
          <w:szCs w:val="28"/>
          <w:lang w:val="it-IT"/>
        </w:rPr>
      </w:pPr>
    </w:p>
    <w:p w14:paraId="79698BA8" w14:textId="77777777" w:rsidR="004532A2" w:rsidRDefault="004532A2">
      <w:pPr>
        <w:rPr>
          <w:rFonts w:ascii="Calibri" w:hAnsi="Calibri"/>
          <w:sz w:val="28"/>
          <w:szCs w:val="28"/>
          <w:lang w:val="it-IT"/>
        </w:rPr>
      </w:pPr>
    </w:p>
    <w:p w14:paraId="611F9E25" w14:textId="77777777" w:rsidR="004532A2" w:rsidRDefault="004532A2" w:rsidP="004532A2">
      <w:pPr>
        <w:rPr>
          <w:rFonts w:ascii="Calibri" w:hAnsi="Calibri"/>
          <w:sz w:val="28"/>
          <w:szCs w:val="28"/>
          <w:lang w:val="it-IT"/>
        </w:rPr>
      </w:pPr>
      <w:r>
        <w:rPr>
          <w:rFonts w:ascii="Calibri" w:hAnsi="Calibri"/>
          <w:sz w:val="28"/>
          <w:szCs w:val="28"/>
          <w:lang w:val="it-IT"/>
        </w:rPr>
        <w:t xml:space="preserve">*Il Global </w:t>
      </w:r>
      <w:proofErr w:type="spellStart"/>
      <w:r>
        <w:rPr>
          <w:rFonts w:ascii="Calibri" w:hAnsi="Calibri"/>
          <w:sz w:val="28"/>
          <w:szCs w:val="28"/>
          <w:lang w:val="it-IT"/>
        </w:rPr>
        <w:t>Terrori</w:t>
      </w:r>
      <w:r w:rsidR="001F2682">
        <w:rPr>
          <w:rFonts w:ascii="Calibri" w:hAnsi="Calibri"/>
          <w:sz w:val="28"/>
          <w:szCs w:val="28"/>
          <w:lang w:val="it-IT"/>
        </w:rPr>
        <w:t>s</w:t>
      </w:r>
      <w:r>
        <w:rPr>
          <w:rFonts w:ascii="Calibri" w:hAnsi="Calibri"/>
          <w:sz w:val="28"/>
          <w:szCs w:val="28"/>
          <w:lang w:val="it-IT"/>
        </w:rPr>
        <w:t>m</w:t>
      </w:r>
      <w:proofErr w:type="spellEnd"/>
      <w:r>
        <w:rPr>
          <w:rFonts w:ascii="Calibri" w:hAnsi="Calibri"/>
          <w:sz w:val="28"/>
          <w:szCs w:val="28"/>
          <w:lang w:val="it-IT"/>
        </w:rPr>
        <w:t xml:space="preserve"> Database definisce un attacco terroristico come «la minaccia dell’uso o l’uso effettivo</w:t>
      </w:r>
      <w:r w:rsidR="001F2682">
        <w:rPr>
          <w:rFonts w:ascii="Calibri" w:hAnsi="Calibri"/>
          <w:sz w:val="28"/>
          <w:szCs w:val="28"/>
          <w:lang w:val="it-IT"/>
        </w:rPr>
        <w:t xml:space="preserve"> e illegale della </w:t>
      </w:r>
      <w:r>
        <w:rPr>
          <w:rFonts w:ascii="Calibri" w:hAnsi="Calibri"/>
          <w:sz w:val="28"/>
          <w:szCs w:val="28"/>
          <w:lang w:val="it-IT"/>
        </w:rPr>
        <w:t xml:space="preserve">forza e </w:t>
      </w:r>
      <w:r w:rsidR="001F2682">
        <w:rPr>
          <w:rFonts w:ascii="Calibri" w:hAnsi="Calibri"/>
          <w:sz w:val="28"/>
          <w:szCs w:val="28"/>
          <w:lang w:val="it-IT"/>
        </w:rPr>
        <w:t>della</w:t>
      </w:r>
      <w:r>
        <w:rPr>
          <w:rFonts w:ascii="Calibri" w:hAnsi="Calibri"/>
          <w:sz w:val="28"/>
          <w:szCs w:val="28"/>
          <w:lang w:val="it-IT"/>
        </w:rPr>
        <w:t xml:space="preserve"> violenza da parte di un attore non statale per conseguire un obiettivo politico, economico, religioso o sociale attraverso la paura, la coercizione o l’intimidazione».</w:t>
      </w:r>
    </w:p>
    <w:p w14:paraId="1502E3DC" w14:textId="77777777" w:rsidR="004532A2" w:rsidRPr="001F2682" w:rsidRDefault="004532A2" w:rsidP="004532A2">
      <w:pPr>
        <w:rPr>
          <w:rFonts w:ascii="Avenir Next" w:hAnsi="Avenir Next" w:hint="eastAsia"/>
          <w:sz w:val="24"/>
          <w:szCs w:val="24"/>
          <w:lang w:val="it-IT"/>
        </w:rPr>
      </w:pPr>
    </w:p>
    <w:p w14:paraId="2AEC3069" w14:textId="77777777" w:rsidR="004532A2" w:rsidRPr="004532A2" w:rsidRDefault="004532A2">
      <w:pPr>
        <w:rPr>
          <w:rFonts w:ascii="Avenir Next" w:hAnsi="Avenir Next" w:hint="eastAsia"/>
          <w:sz w:val="24"/>
          <w:szCs w:val="24"/>
          <w:lang w:val="en-GB"/>
        </w:rPr>
      </w:pPr>
      <w:r>
        <w:rPr>
          <w:rFonts w:ascii="Avenir Next" w:hAnsi="Avenir Next"/>
          <w:sz w:val="24"/>
          <w:szCs w:val="24"/>
          <w:lang w:val="en-GB"/>
        </w:rPr>
        <w:t xml:space="preserve">A terrorist attack is defined by the GTD as </w:t>
      </w:r>
      <w:r>
        <w:rPr>
          <w:rFonts w:ascii="Avenir Next" w:hAnsi="Avenir Next"/>
          <w:i/>
          <w:iCs/>
          <w:sz w:val="24"/>
          <w:szCs w:val="24"/>
          <w:lang w:val="en-GB"/>
        </w:rPr>
        <w:t>the threatened or actual use of illegal force and violence by a non-state actor to attain a political, economic, religious, or social goal through fear, coercion, or intimidation.</w:t>
      </w:r>
      <w:r>
        <w:rPr>
          <w:rFonts w:ascii="Avenir Next" w:hAnsi="Avenir Next"/>
          <w:sz w:val="24"/>
          <w:szCs w:val="24"/>
          <w:lang w:val="en-GB"/>
        </w:rPr>
        <w:t xml:space="preserve"> </w:t>
      </w:r>
    </w:p>
    <w:bookmarkEnd w:id="0"/>
    <w:bookmarkEnd w:id="1"/>
    <w:bookmarkEnd w:id="2"/>
    <w:bookmarkEnd w:id="3"/>
    <w:sectPr w:rsidR="004532A2" w:rsidRPr="004532A2" w:rsidSect="00830D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4" w:author="Duc Nguyen" w:date="2017-11-09T09:25:00Z" w:initials="DN">
    <w:p w14:paraId="5422FEB3" w14:textId="7605DE66" w:rsidR="003F56DD" w:rsidRPr="002A16EE" w:rsidRDefault="003F56DD" w:rsidP="002A16EE">
      <w:pPr>
        <w:pStyle w:val="CommentText"/>
        <w:rPr>
          <w:lang w:val="fr-CH"/>
        </w:rPr>
      </w:pPr>
      <w:r>
        <w:rPr>
          <w:rStyle w:val="CommentReference"/>
        </w:rPr>
        <w:annotationRef/>
      </w:r>
      <w:r w:rsidR="002A16EE" w:rsidRPr="002A16EE">
        <w:rPr>
          <w:lang w:val="fr-CH"/>
        </w:rPr>
        <w:t>Les morts du terrorisme en Europe occidentale depui</w:t>
      </w:r>
      <w:r w:rsidR="002A16EE">
        <w:rPr>
          <w:lang w:val="fr-CH"/>
        </w:rPr>
        <w:t>s 2012 représentent moins de 0,</w:t>
      </w:r>
      <w:r w:rsidR="002A16EE" w:rsidRPr="002A16EE">
        <w:rPr>
          <w:lang w:val="fr-CH"/>
        </w:rPr>
        <w:t xml:space="preserve">3% </w:t>
      </w:r>
      <w:r w:rsidR="002A16EE">
        <w:rPr>
          <w:lang w:val="fr-CH"/>
        </w:rPr>
        <w:t>des vic</w:t>
      </w:r>
      <w:bookmarkStart w:id="5" w:name="_GoBack"/>
      <w:bookmarkEnd w:id="5"/>
      <w:r w:rsidR="002A16EE">
        <w:rPr>
          <w:lang w:val="fr-CH"/>
        </w:rPr>
        <w:t xml:space="preserve">times totales 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422FEB3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FF7B5F"/>
    <w:multiLevelType w:val="hybridMultilevel"/>
    <w:tmpl w:val="1F2E8A9C"/>
    <w:lvl w:ilvl="0" w:tplc="A43E856C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c Nguyen">
    <w15:presenceInfo w15:providerId="Windows Live" w15:userId="73df65bb4f35946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DBC"/>
    <w:rsid w:val="00047131"/>
    <w:rsid w:val="00113513"/>
    <w:rsid w:val="00122419"/>
    <w:rsid w:val="001305D9"/>
    <w:rsid w:val="001B16F8"/>
    <w:rsid w:val="001D21A1"/>
    <w:rsid w:val="001F2682"/>
    <w:rsid w:val="0023122E"/>
    <w:rsid w:val="00283BAB"/>
    <w:rsid w:val="00295C82"/>
    <w:rsid w:val="002A16EE"/>
    <w:rsid w:val="002B3088"/>
    <w:rsid w:val="003D0AD2"/>
    <w:rsid w:val="003F56DD"/>
    <w:rsid w:val="004250F7"/>
    <w:rsid w:val="00431EF8"/>
    <w:rsid w:val="004532A2"/>
    <w:rsid w:val="00474947"/>
    <w:rsid w:val="00521028"/>
    <w:rsid w:val="00521AEB"/>
    <w:rsid w:val="0056533D"/>
    <w:rsid w:val="005E0009"/>
    <w:rsid w:val="00632481"/>
    <w:rsid w:val="00693DA6"/>
    <w:rsid w:val="006B68F0"/>
    <w:rsid w:val="006E4F81"/>
    <w:rsid w:val="00762CD5"/>
    <w:rsid w:val="007C388A"/>
    <w:rsid w:val="00830DBC"/>
    <w:rsid w:val="008A0B4B"/>
    <w:rsid w:val="008B1C06"/>
    <w:rsid w:val="008C233A"/>
    <w:rsid w:val="008C332A"/>
    <w:rsid w:val="009A7CBA"/>
    <w:rsid w:val="00A31C23"/>
    <w:rsid w:val="00A74FCB"/>
    <w:rsid w:val="00AE4202"/>
    <w:rsid w:val="00AF0AC5"/>
    <w:rsid w:val="00B615BC"/>
    <w:rsid w:val="00CE755A"/>
    <w:rsid w:val="00D67FD8"/>
    <w:rsid w:val="00D83DAE"/>
    <w:rsid w:val="00D947A2"/>
    <w:rsid w:val="00DC6BA1"/>
    <w:rsid w:val="00DE5D01"/>
    <w:rsid w:val="00E26EEA"/>
    <w:rsid w:val="00EB73DC"/>
    <w:rsid w:val="00F378C3"/>
    <w:rsid w:val="00F469FB"/>
    <w:rsid w:val="00F5505F"/>
    <w:rsid w:val="00F57E94"/>
    <w:rsid w:val="00F9296F"/>
    <w:rsid w:val="00F9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63CD3"/>
  <w15:chartTrackingRefBased/>
  <w15:docId w15:val="{67EC8E9E-7B0F-4FB2-A4A1-DCB10DB70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CH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4202"/>
    <w:pPr>
      <w:spacing w:after="0" w:line="240" w:lineRule="auto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0A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styleId="Strong">
    <w:name w:val="Strong"/>
    <w:basedOn w:val="DefaultParagraphFont"/>
    <w:uiPriority w:val="22"/>
    <w:qFormat/>
    <w:rsid w:val="00AF0AC5"/>
    <w:rPr>
      <w:b/>
      <w:bCs/>
    </w:rPr>
  </w:style>
  <w:style w:type="character" w:customStyle="1" w:styleId="hit">
    <w:name w:val="hit"/>
    <w:basedOn w:val="DefaultParagraphFont"/>
    <w:rsid w:val="00693DA6"/>
    <w:rPr>
      <w:color w:val="000000"/>
      <w:shd w:val="clear" w:color="auto" w:fill="FFFFB2"/>
    </w:rPr>
  </w:style>
  <w:style w:type="character" w:styleId="Hyperlink">
    <w:name w:val="Hyperlink"/>
    <w:basedOn w:val="DefaultParagraphFont"/>
    <w:uiPriority w:val="99"/>
    <w:unhideWhenUsed/>
    <w:rsid w:val="0011351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1351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83BAB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532A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F56D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56DD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56DD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56D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56DD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56D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6D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58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4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0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3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55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92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90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5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19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0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omments" Target="comments.xml"/><Relationship Id="rId12" Type="http://schemas.microsoft.com/office/2011/relationships/commentsExtended" Target="commentsExtended.xml"/><Relationship Id="rId13" Type="http://schemas.openxmlformats.org/officeDocument/2006/relationships/hyperlink" Target="https://interactive.swissinfo.ch/2017_11_02_terrorismDeaths/area_terrorismDeath_EN.html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datawrapper.dwcdn.net/7kWBw/2/" TargetMode="External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microsoft.com/office/2011/relationships/people" Target="peop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google.ch/maps/dir/@25.7376252,32.6053727,1103m/data=!3m1!1e3" TargetMode="External"/><Relationship Id="rId6" Type="http://schemas.openxmlformats.org/officeDocument/2006/relationships/hyperlink" Target="https://datawrapper.dwcdn.net/uMDaP/1/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www.start.umd.edu/gtd/" TargetMode="External"/><Relationship Id="rId9" Type="http://schemas.openxmlformats.org/officeDocument/2006/relationships/hyperlink" Target="https://interactive.swissinfo.ch/2017_11_02_terrorismDeaths/terrorismDeathMap_FR.gif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574</Words>
  <Characters>3274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Jorio, Luigi (swissinfo)</dc:creator>
  <cp:keywords/>
  <dc:description/>
  <cp:lastModifiedBy>Duc Nguyen</cp:lastModifiedBy>
  <cp:revision>3</cp:revision>
  <dcterms:created xsi:type="dcterms:W3CDTF">2017-11-09T07:40:00Z</dcterms:created>
  <dcterms:modified xsi:type="dcterms:W3CDTF">2017-11-09T08:26:00Z</dcterms:modified>
</cp:coreProperties>
</file>