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AF43" w14:textId="32F7A57E" w:rsidR="00750204" w:rsidRPr="00750204" w:rsidRDefault="00032406" w:rsidP="00032406">
      <w:pPr>
        <w:pStyle w:val="docdata"/>
        <w:spacing w:before="0" w:beforeAutospacing="0" w:after="120" w:afterAutospacing="0"/>
        <w:jc w:val="both"/>
        <w:rPr>
          <w:lang w:val="en-US"/>
        </w:rPr>
      </w:pPr>
      <w:r>
        <w:rPr>
          <w:rFonts w:ascii="Calibri" w:hAnsi="Calibri" w:cs="Calibri"/>
          <w:color w:val="000000"/>
          <w:u w:val="single"/>
          <w:lang w:val="en-US"/>
        </w:rPr>
        <w:t>Section “E</w:t>
      </w:r>
      <w:r w:rsidR="00750204" w:rsidRPr="00750204">
        <w:rPr>
          <w:rFonts w:ascii="Calibri" w:hAnsi="Calibri" w:cs="Calibri"/>
          <w:color w:val="000000"/>
          <w:u w:val="single"/>
          <w:lang w:val="en-US"/>
        </w:rPr>
        <w:t>ducation history and current situation</w:t>
      </w:r>
      <w:r w:rsidR="00750204">
        <w:rPr>
          <w:rFonts w:ascii="Calibri" w:hAnsi="Calibri" w:cs="Calibri"/>
          <w:color w:val="000000"/>
          <w:u w:val="single"/>
          <w:lang w:val="en-US"/>
        </w:rPr>
        <w:t>”</w:t>
      </w:r>
    </w:p>
    <w:p w14:paraId="70651389" w14:textId="7B244400" w:rsidR="00E1688B" w:rsidRDefault="00A03C61">
      <w:pPr>
        <w:rPr>
          <w:b/>
          <w:bCs/>
          <w:sz w:val="40"/>
          <w:szCs w:val="40"/>
        </w:rPr>
      </w:pPr>
      <w:r w:rsidRPr="00C577D4">
        <w:rPr>
          <w:b/>
          <w:bCs/>
          <w:sz w:val="40"/>
          <w:szCs w:val="40"/>
        </w:rPr>
        <w:t>La migration est de plus en plus hautement qualifiée</w:t>
      </w:r>
    </w:p>
    <w:p w14:paraId="24FD145D" w14:textId="26902BC7" w:rsidR="00D350A5" w:rsidRPr="00D350A5" w:rsidRDefault="00D350A5">
      <w:pPr>
        <w:rPr>
          <w:b/>
          <w:bCs/>
          <w:sz w:val="40"/>
          <w:szCs w:val="40"/>
          <w:lang w:val="en-US"/>
        </w:rPr>
      </w:pPr>
      <w:r w:rsidRPr="00D350A5">
        <w:rPr>
          <w:b/>
          <w:bCs/>
          <w:sz w:val="40"/>
          <w:szCs w:val="40"/>
          <w:lang w:val="en-US"/>
        </w:rPr>
        <w:t xml:space="preserve">(An </w:t>
      </w:r>
      <w:proofErr w:type="spellStart"/>
      <w:r w:rsidRPr="00D350A5">
        <w:rPr>
          <w:b/>
          <w:bCs/>
          <w:sz w:val="40"/>
          <w:szCs w:val="40"/>
          <w:lang w:val="en-US"/>
        </w:rPr>
        <w:t>increasignly</w:t>
      </w:r>
      <w:proofErr w:type="spellEnd"/>
      <w:r w:rsidRPr="00D350A5">
        <w:rPr>
          <w:b/>
          <w:bCs/>
          <w:sz w:val="40"/>
          <w:szCs w:val="40"/>
          <w:lang w:val="en-US"/>
        </w:rPr>
        <w:t xml:space="preserve"> highly </w:t>
      </w:r>
      <w:r>
        <w:rPr>
          <w:b/>
          <w:bCs/>
          <w:sz w:val="40"/>
          <w:szCs w:val="40"/>
          <w:lang w:val="en-US"/>
        </w:rPr>
        <w:t>qualified</w:t>
      </w:r>
      <w:r w:rsidRPr="00D350A5">
        <w:rPr>
          <w:b/>
          <w:bCs/>
          <w:sz w:val="40"/>
          <w:szCs w:val="40"/>
          <w:lang w:val="en-US"/>
        </w:rPr>
        <w:t xml:space="preserve"> migration)</w:t>
      </w:r>
    </w:p>
    <w:p w14:paraId="7CB45D3A" w14:textId="6CE3E295" w:rsidR="00A03C61" w:rsidRPr="00E5209C" w:rsidRDefault="00C577D4">
      <w:pPr>
        <w:rPr>
          <w:b/>
          <w:bCs/>
        </w:rPr>
      </w:pPr>
      <w:r w:rsidRPr="00E5209C">
        <w:rPr>
          <w:b/>
          <w:bCs/>
        </w:rPr>
        <w:t>Données de base</w:t>
      </w:r>
    </w:p>
    <w:p w14:paraId="1C3B0262" w14:textId="4CF24B87" w:rsidR="007A148C" w:rsidRDefault="007A148C">
      <w:r w:rsidRPr="007A148C">
        <w:t xml:space="preserve">Part </w:t>
      </w:r>
      <w:r>
        <w:t xml:space="preserve">en % </w:t>
      </w:r>
      <w:r w:rsidRPr="007A148C">
        <w:t>des personnes hautement qualifiées (niveau de formation tertiaire) parmi les répondant-e-s à l’enquête</w:t>
      </w:r>
    </w:p>
    <w:p w14:paraId="7E9F3E4A" w14:textId="22D49FD9" w:rsidR="00D350A5" w:rsidRPr="00D350A5" w:rsidRDefault="00D350A5">
      <w:pPr>
        <w:rPr>
          <w:lang w:val="en-US"/>
        </w:rPr>
      </w:pPr>
      <w:r w:rsidRPr="00D350A5">
        <w:rPr>
          <w:lang w:val="en-US"/>
        </w:rPr>
        <w:t xml:space="preserve">(Percentage of highly </w:t>
      </w:r>
      <w:r>
        <w:rPr>
          <w:lang w:val="en-US"/>
        </w:rPr>
        <w:t>qualified</w:t>
      </w:r>
      <w:r w:rsidRPr="00D350A5">
        <w:rPr>
          <w:lang w:val="en-US"/>
        </w:rPr>
        <w:t xml:space="preserve"> people (tertiary education) among survey respondents)</w:t>
      </w:r>
    </w:p>
    <w:tbl>
      <w:tblPr>
        <w:tblW w:w="9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1031"/>
        <w:gridCol w:w="1075"/>
        <w:gridCol w:w="762"/>
        <w:gridCol w:w="1031"/>
        <w:gridCol w:w="1075"/>
        <w:gridCol w:w="762"/>
        <w:gridCol w:w="1031"/>
        <w:gridCol w:w="1075"/>
        <w:gridCol w:w="762"/>
        <w:gridCol w:w="541"/>
      </w:tblGrid>
      <w:tr w:rsidR="007A148C" w:rsidRPr="007A148C" w14:paraId="699B7FDD" w14:textId="77777777" w:rsidTr="007A148C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532C" w14:textId="77777777" w:rsidR="007A148C" w:rsidRPr="00D350A5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 w:eastAsia="fr-CH"/>
                <w14:ligatures w14:val="none"/>
              </w:rPr>
            </w:pPr>
            <w:r w:rsidRPr="00D35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C255" w14:textId="5B4988BD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Hommes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20C1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58D7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5A95" w14:textId="7AC516E9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Femmes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05E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7D67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4BF0" w14:textId="3428AB4F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Ensemble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F114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83A1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7899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</w:tr>
      <w:tr w:rsidR="007A148C" w:rsidRPr="007A148C" w14:paraId="7CBA4E2D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2BE9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4F54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2083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F0A5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Tertiaire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1CAD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D11E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558C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Tertiaire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DDF0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2EDB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Secondaire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6C4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Tertiaire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24F9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N</w:t>
            </w:r>
          </w:p>
        </w:tc>
      </w:tr>
      <w:tr w:rsidR="007A148C" w:rsidRPr="007A148C" w14:paraId="07C36033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1FDE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4385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FDCF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ECC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AD27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7727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DFA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7CE9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BF8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53F2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4EF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5973</w:t>
            </w:r>
          </w:p>
        </w:tc>
      </w:tr>
      <w:tr w:rsidR="007A148C" w:rsidRPr="007A148C" w14:paraId="4B94836F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4689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F6F2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8173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E308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A7A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3E97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D6D0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49C0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2DE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F67E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0D06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7740</w:t>
            </w:r>
          </w:p>
        </w:tc>
      </w:tr>
      <w:tr w:rsidR="007A148C" w:rsidRPr="007A148C" w14:paraId="467FA065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1484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C19B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0CE3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0F12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3F34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A20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DE78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C07D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1AF5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EE8B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043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7393</w:t>
            </w:r>
          </w:p>
        </w:tc>
      </w:tr>
      <w:tr w:rsidR="007A148C" w:rsidRPr="007A148C" w14:paraId="303ACEF5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1F4E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BA4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A99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A1C3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59.3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EA73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173F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7AB8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61.3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90A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F3EB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6B9F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60.3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5FC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7206</w:t>
            </w:r>
          </w:p>
        </w:tc>
      </w:tr>
      <w:tr w:rsidR="007A148C" w:rsidRPr="007A148C" w14:paraId="0DD0354C" w14:textId="77777777" w:rsidTr="007A148C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492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F15A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F7C4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ED86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4C06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562D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C793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7FE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D326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2EAB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5C77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CH"/>
                <w14:ligatures w14:val="none"/>
              </w:rPr>
              <w:t> </w:t>
            </w:r>
          </w:p>
        </w:tc>
      </w:tr>
    </w:tbl>
    <w:p w14:paraId="41D32847" w14:textId="77777777" w:rsidR="007A148C" w:rsidRPr="007A148C" w:rsidRDefault="007A148C">
      <w:pPr>
        <w:rPr>
          <w:b/>
          <w:bCs/>
        </w:rPr>
      </w:pPr>
    </w:p>
    <w:p w14:paraId="1D28FC56" w14:textId="21F65938" w:rsidR="00A03C61" w:rsidRDefault="00C577D4">
      <w:pPr>
        <w:rPr>
          <w:b/>
          <w:bCs/>
        </w:rPr>
      </w:pPr>
      <w:r w:rsidRPr="007A148C">
        <w:rPr>
          <w:b/>
          <w:bCs/>
        </w:rPr>
        <w:t xml:space="preserve">Focus : </w:t>
      </w:r>
    </w:p>
    <w:p w14:paraId="734A4468" w14:textId="7E0B28BC" w:rsidR="007A148C" w:rsidRDefault="007A148C">
      <w:r w:rsidRPr="007A148C">
        <w:t>Différences entre origines. Les origines les mieux, versus les moins qualifiées % de niveau tertiaire en 2022</w:t>
      </w:r>
    </w:p>
    <w:p w14:paraId="1C239532" w14:textId="08D41AB9" w:rsidR="00963282" w:rsidRPr="00963282" w:rsidRDefault="00963282">
      <w:pPr>
        <w:rPr>
          <w:lang w:val="en-US"/>
        </w:rPr>
      </w:pPr>
      <w:r w:rsidRPr="00963282">
        <w:rPr>
          <w:lang w:val="en-US"/>
        </w:rPr>
        <w:t xml:space="preserve">(The best-qualified versus the least-qualified </w:t>
      </w:r>
      <w:r>
        <w:rPr>
          <w:lang w:val="en-US"/>
        </w:rPr>
        <w:t>places of origin,</w:t>
      </w:r>
      <w:r w:rsidRPr="00963282">
        <w:rPr>
          <w:lang w:val="en-US"/>
        </w:rPr>
        <w:t xml:space="preserve"> % tertiary level in 2022</w:t>
      </w:r>
      <w:r>
        <w:rPr>
          <w:lang w:val="en-US"/>
        </w:rPr>
        <w:t>)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620"/>
      </w:tblGrid>
      <w:tr w:rsidR="007A148C" w:rsidRPr="007A148C" w14:paraId="16F5FBE2" w14:textId="77777777" w:rsidTr="007A148C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370A9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Les extrêmes en 2022</w:t>
            </w:r>
          </w:p>
        </w:tc>
      </w:tr>
      <w:tr w:rsidR="007A148C" w:rsidRPr="007A148C" w14:paraId="4B3190DA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C39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France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BA44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80.9</w:t>
            </w:r>
          </w:p>
        </w:tc>
      </w:tr>
      <w:tr w:rsidR="007A148C" w:rsidRPr="007A148C" w14:paraId="188202B0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E658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OCDE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8E1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79.3</w:t>
            </w:r>
          </w:p>
        </w:tc>
      </w:tr>
      <w:tr w:rsidR="007A148C" w:rsidRPr="007A148C" w14:paraId="6A6E29B9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CB9D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Asie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3048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75.4</w:t>
            </w:r>
          </w:p>
        </w:tc>
      </w:tr>
      <w:tr w:rsidR="007A148C" w:rsidRPr="007A148C" w14:paraId="03D91C47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89E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5740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7A148C" w:rsidRPr="007A148C" w14:paraId="3C7B85BD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842B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Europe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3E30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44.1</w:t>
            </w:r>
          </w:p>
        </w:tc>
      </w:tr>
      <w:tr w:rsidR="007A148C" w:rsidRPr="007A148C" w14:paraId="23B34AC3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7661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Afrique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5574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40.0</w:t>
            </w:r>
          </w:p>
        </w:tc>
      </w:tr>
      <w:tr w:rsidR="007A148C" w:rsidRPr="007A148C" w14:paraId="59E2242C" w14:textId="77777777" w:rsidTr="007A148C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7EBFD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Portugal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17E2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28.2</w:t>
            </w:r>
          </w:p>
        </w:tc>
      </w:tr>
    </w:tbl>
    <w:p w14:paraId="22DB8DBF" w14:textId="77777777" w:rsidR="007A148C" w:rsidRPr="007A148C" w:rsidRDefault="007A148C">
      <w:pPr>
        <w:rPr>
          <w:b/>
          <w:bCs/>
        </w:rPr>
      </w:pPr>
    </w:p>
    <w:p w14:paraId="11C2D68E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74A197FE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16D156D1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2300601C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582C980A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21A3CB2A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0F229CA0" w14:textId="77777777" w:rsidR="00DE15A7" w:rsidRDefault="00DE15A7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</w:p>
    <w:p w14:paraId="39E9041C" w14:textId="23B5C3BB" w:rsidR="00FD39BD" w:rsidRPr="00FD39BD" w:rsidRDefault="00FD39BD" w:rsidP="00FD39BD">
      <w:pPr>
        <w:pStyle w:val="docdata"/>
        <w:spacing w:before="0" w:beforeAutospacing="0" w:after="120" w:afterAutospacing="0"/>
        <w:jc w:val="both"/>
        <w:rPr>
          <w:rFonts w:ascii="Calibri" w:hAnsi="Calibri" w:cs="Calibri"/>
          <w:color w:val="000000"/>
          <w:u w:val="single"/>
          <w:lang w:val="en-US"/>
        </w:rPr>
      </w:pPr>
      <w:r>
        <w:rPr>
          <w:rFonts w:ascii="Calibri" w:hAnsi="Calibri" w:cs="Calibri"/>
          <w:color w:val="000000"/>
          <w:u w:val="single"/>
          <w:lang w:val="en-US"/>
        </w:rPr>
        <w:lastRenderedPageBreak/>
        <w:t>Section “</w:t>
      </w:r>
      <w:r w:rsidRPr="00FD39BD">
        <w:rPr>
          <w:rFonts w:ascii="Calibri" w:hAnsi="Calibri" w:cs="Calibri"/>
          <w:color w:val="000000"/>
          <w:u w:val="single"/>
          <w:lang w:val="en-US"/>
        </w:rPr>
        <w:t>Family configuration and household composition</w:t>
      </w:r>
      <w:r>
        <w:rPr>
          <w:rFonts w:ascii="Calibri" w:hAnsi="Calibri" w:cs="Calibri"/>
          <w:color w:val="000000"/>
          <w:u w:val="single"/>
          <w:lang w:val="en-US"/>
        </w:rPr>
        <w:t>”</w:t>
      </w:r>
    </w:p>
    <w:p w14:paraId="0815A0BA" w14:textId="55E47F00" w:rsidR="00C577D4" w:rsidRDefault="007C41CF" w:rsidP="00C577D4">
      <w:pPr>
        <w:rPr>
          <w:b/>
          <w:bCs/>
          <w:sz w:val="36"/>
          <w:szCs w:val="36"/>
        </w:rPr>
      </w:pPr>
      <w:r w:rsidRPr="007A148C">
        <w:rPr>
          <w:b/>
          <w:bCs/>
          <w:sz w:val="36"/>
          <w:szCs w:val="36"/>
        </w:rPr>
        <w:t xml:space="preserve">La migration </w:t>
      </w:r>
      <w:r w:rsidR="007A148C" w:rsidRPr="007A148C">
        <w:rPr>
          <w:b/>
          <w:bCs/>
          <w:sz w:val="36"/>
          <w:szCs w:val="36"/>
        </w:rPr>
        <w:t>concerne de plus en plus des personnes en couple</w:t>
      </w:r>
    </w:p>
    <w:p w14:paraId="6D22326F" w14:textId="4DC1F748" w:rsidR="0003403A" w:rsidRPr="0003403A" w:rsidRDefault="0003403A" w:rsidP="00C577D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r w:rsidRPr="0003403A">
        <w:rPr>
          <w:b/>
          <w:bCs/>
          <w:sz w:val="36"/>
          <w:szCs w:val="36"/>
          <w:lang w:val="en-US"/>
        </w:rPr>
        <w:t>Migrati</w:t>
      </w:r>
      <w:r>
        <w:rPr>
          <w:b/>
          <w:bCs/>
          <w:sz w:val="36"/>
          <w:szCs w:val="36"/>
          <w:lang w:val="en-US"/>
        </w:rPr>
        <w:t>ng when in a relationship, a growing trend)</w:t>
      </w:r>
      <w:r w:rsidRPr="0003403A">
        <w:rPr>
          <w:b/>
          <w:bCs/>
          <w:sz w:val="36"/>
          <w:szCs w:val="36"/>
          <w:lang w:val="en-US"/>
        </w:rPr>
        <w:t xml:space="preserve"> </w:t>
      </w:r>
    </w:p>
    <w:p w14:paraId="749BF766" w14:textId="77777777" w:rsidR="007A148C" w:rsidRPr="007A148C" w:rsidRDefault="007A148C" w:rsidP="00C577D4">
      <w:pPr>
        <w:rPr>
          <w:b/>
          <w:bCs/>
        </w:rPr>
      </w:pPr>
      <w:r w:rsidRPr="007A148C">
        <w:rPr>
          <w:b/>
          <w:bCs/>
        </w:rPr>
        <w:t xml:space="preserve">Données : </w:t>
      </w:r>
    </w:p>
    <w:p w14:paraId="3A637BF3" w14:textId="5F55BD53" w:rsidR="007A148C" w:rsidRDefault="007A148C" w:rsidP="00C577D4">
      <w:r>
        <w:t>Proportion de personnes en couple au moment d’effectuer la migration, selon la période selon laquelle la migration a été effectuée (données 2022)</w:t>
      </w:r>
    </w:p>
    <w:p w14:paraId="084D9F3A" w14:textId="7517D946" w:rsidR="00D5453D" w:rsidRPr="00D5453D" w:rsidRDefault="00D5453D" w:rsidP="00C577D4">
      <w:pPr>
        <w:rPr>
          <w:lang w:val="en-US"/>
        </w:rPr>
      </w:pPr>
      <w:r w:rsidRPr="00D5453D">
        <w:rPr>
          <w:lang w:val="en-US"/>
        </w:rPr>
        <w:t xml:space="preserve">(Proportion of </w:t>
      </w:r>
      <w:r>
        <w:rPr>
          <w:lang w:val="en-US"/>
        </w:rPr>
        <w:t>respondents in a relationship</w:t>
      </w:r>
      <w:r w:rsidRPr="00D5453D">
        <w:rPr>
          <w:lang w:val="en-US"/>
        </w:rPr>
        <w:t xml:space="preserve"> at the time of migration, by period of migration</w:t>
      </w:r>
      <w:r>
        <w:rPr>
          <w:lang w:val="en-US"/>
        </w:rPr>
        <w:t xml:space="preserve">. </w:t>
      </w:r>
      <w:r w:rsidRPr="00D5453D">
        <w:rPr>
          <w:lang w:val="en-US"/>
        </w:rPr>
        <w:t>2022</w:t>
      </w:r>
      <w:r>
        <w:rPr>
          <w:lang w:val="en-US"/>
        </w:rPr>
        <w:t xml:space="preserve"> </w:t>
      </w:r>
      <w:r w:rsidRPr="00D5453D">
        <w:rPr>
          <w:lang w:val="en-US"/>
        </w:rPr>
        <w:t>data)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A148C" w:rsidRPr="007A148C" w14:paraId="607602DA" w14:textId="77777777" w:rsidTr="007A148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6F42" w14:textId="2DE4A58E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D5453D"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  <w:t> </w:t>
            </w:r>
            <w:r w:rsid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Année d’arrivée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EB93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Oui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53DF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Non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7A62" w14:textId="77777777" w:rsidR="007A148C" w:rsidRPr="007A148C" w:rsidRDefault="007A148C" w:rsidP="007A1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N</w:t>
            </w:r>
          </w:p>
        </w:tc>
      </w:tr>
      <w:tr w:rsidR="007A148C" w:rsidRPr="007A148C" w14:paraId="518A9168" w14:textId="77777777" w:rsidTr="007A14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84BB3" w14:textId="77777777" w:rsidR="007A148C" w:rsidRPr="007A148C" w:rsidRDefault="007A148C" w:rsidP="007A1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2020-2022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CD817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77.5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A9776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1710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910</w:t>
            </w:r>
          </w:p>
        </w:tc>
      </w:tr>
      <w:tr w:rsidR="007A148C" w:rsidRPr="007A148C" w14:paraId="69DF706A" w14:textId="77777777" w:rsidTr="007A14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91786" w14:textId="77777777" w:rsidR="007A148C" w:rsidRPr="007A148C" w:rsidRDefault="007A148C" w:rsidP="007A1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2015-2019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85A3B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74.1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A4827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25.9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EB4E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2903</w:t>
            </w:r>
          </w:p>
        </w:tc>
      </w:tr>
      <w:tr w:rsidR="007A148C" w:rsidRPr="007A148C" w14:paraId="427265FC" w14:textId="77777777" w:rsidTr="007A14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87291" w14:textId="77777777" w:rsidR="007A148C" w:rsidRPr="007A148C" w:rsidRDefault="007A148C" w:rsidP="007A1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2010-2014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FF945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70.9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AA8AD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29.1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5E22C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2731</w:t>
            </w:r>
          </w:p>
        </w:tc>
      </w:tr>
      <w:tr w:rsidR="007A148C" w:rsidRPr="007A148C" w14:paraId="4AC93F76" w14:textId="77777777" w:rsidTr="007A148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F50A2" w14:textId="77777777" w:rsidR="007A148C" w:rsidRPr="007A148C" w:rsidRDefault="007A148C" w:rsidP="007A1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2006-2009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539C1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63.8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59853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36.2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181B2" w14:textId="77777777" w:rsidR="007A148C" w:rsidRPr="007A148C" w:rsidRDefault="007A148C" w:rsidP="007A14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7A148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662</w:t>
            </w:r>
          </w:p>
        </w:tc>
      </w:tr>
    </w:tbl>
    <w:p w14:paraId="01CD8106" w14:textId="77777777" w:rsidR="007A148C" w:rsidRDefault="007A148C" w:rsidP="00C577D4"/>
    <w:p w14:paraId="605DCC0B" w14:textId="77777777" w:rsidR="00182AA1" w:rsidRPr="001B6FBE" w:rsidRDefault="00182AA1" w:rsidP="00C577D4">
      <w:r w:rsidRPr="00182AA1">
        <w:rPr>
          <w:b/>
          <w:bCs/>
        </w:rPr>
        <w:t xml:space="preserve">Focus : </w:t>
      </w:r>
      <w:r w:rsidRPr="001B6FBE">
        <w:t xml:space="preserve">différences entre origines. </w:t>
      </w:r>
    </w:p>
    <w:p w14:paraId="6C1BA336" w14:textId="6DDEEB61" w:rsidR="00F2769B" w:rsidRPr="00F2769B" w:rsidRDefault="00F2769B" w:rsidP="00C577D4">
      <w:pPr>
        <w:rPr>
          <w:b/>
          <w:bCs/>
          <w:lang w:val="en-US"/>
        </w:rPr>
      </w:pPr>
      <w:r w:rsidRPr="001B6FBE">
        <w:rPr>
          <w:lang w:val="en-US"/>
        </w:rPr>
        <w:t>(</w:t>
      </w:r>
      <w:r w:rsidRPr="00F2769B">
        <w:rPr>
          <w:b/>
          <w:bCs/>
          <w:lang w:val="en-US"/>
        </w:rPr>
        <w:t xml:space="preserve">Focus: </w:t>
      </w:r>
      <w:r w:rsidRPr="001B6FBE">
        <w:rPr>
          <w:lang w:val="en-US"/>
        </w:rPr>
        <w:t>differences depending on place of origin)</w:t>
      </w:r>
    </w:p>
    <w:p w14:paraId="5FBC38CE" w14:textId="1C3E7668" w:rsidR="007A148C" w:rsidRDefault="00182AA1" w:rsidP="00C577D4">
      <w:r w:rsidRPr="00182AA1">
        <w:t>Les personnes des pays proches effectuent plus fréquemment une migration alors qu’ils ne sont pas en couple</w:t>
      </w:r>
      <w:r>
        <w:t>. Proportion de personnes en couple au moment de la migration.</w:t>
      </w:r>
    </w:p>
    <w:p w14:paraId="35FA3462" w14:textId="2BB4F24A" w:rsidR="00F2769B" w:rsidRPr="00F2769B" w:rsidRDefault="00F2769B" w:rsidP="00C577D4">
      <w:pPr>
        <w:rPr>
          <w:lang w:val="en-US"/>
        </w:rPr>
      </w:pPr>
      <w:r w:rsidRPr="00F2769B">
        <w:rPr>
          <w:lang w:val="en-US"/>
        </w:rPr>
        <w:t xml:space="preserve">(People from nearby countries migrate more frequently when they are not in a </w:t>
      </w:r>
      <w:r>
        <w:rPr>
          <w:lang w:val="en-US"/>
        </w:rPr>
        <w:t>relationship</w:t>
      </w:r>
      <w:r w:rsidRPr="00F2769B">
        <w:rPr>
          <w:lang w:val="en-US"/>
        </w:rPr>
        <w:t xml:space="preserve">. Proportion of </w:t>
      </w:r>
      <w:r w:rsidR="00944119">
        <w:rPr>
          <w:lang w:val="en-US"/>
        </w:rPr>
        <w:t>respondents</w:t>
      </w:r>
      <w:r>
        <w:rPr>
          <w:lang w:val="en-US"/>
        </w:rPr>
        <w:t xml:space="preserve"> in a relationship</w:t>
      </w:r>
      <w:r w:rsidRPr="00F2769B">
        <w:rPr>
          <w:lang w:val="en-US"/>
        </w:rPr>
        <w:t xml:space="preserve"> at the time of migration)</w:t>
      </w:r>
    </w:p>
    <w:tbl>
      <w:tblPr>
        <w:tblW w:w="5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348"/>
        <w:gridCol w:w="1348"/>
        <w:gridCol w:w="1348"/>
      </w:tblGrid>
      <w:tr w:rsidR="00182AA1" w:rsidRPr="00182AA1" w14:paraId="71B2B4CC" w14:textId="77777777" w:rsidTr="00182AA1">
        <w:trPr>
          <w:trHeight w:val="29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4A88" w14:textId="77777777" w:rsidR="00182AA1" w:rsidRPr="00F2769B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</w:pPr>
            <w:r w:rsidRPr="00F2769B"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16F5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Oui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566D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Non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4786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N</w:t>
            </w:r>
          </w:p>
        </w:tc>
      </w:tr>
      <w:tr w:rsidR="00182AA1" w:rsidRPr="00182AA1" w14:paraId="5DE083FE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DD22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Europe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5843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79.2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E660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20.8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90DF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642</w:t>
            </w:r>
          </w:p>
        </w:tc>
      </w:tr>
      <w:tr w:rsidR="00182AA1" w:rsidRPr="00182AA1" w14:paraId="17E10CE1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7DF8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UE/AELE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4CA4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72.6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F63D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27.4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40A6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1557</w:t>
            </w:r>
          </w:p>
        </w:tc>
      </w:tr>
      <w:tr w:rsidR="00182AA1" w:rsidRPr="00182AA1" w14:paraId="4E5A0BDE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CEC8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Allemagne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AD97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66.8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904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33.2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BC27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467</w:t>
            </w:r>
          </w:p>
        </w:tc>
      </w:tr>
      <w:tr w:rsidR="00182AA1" w:rsidRPr="00182AA1" w14:paraId="5304C255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2C78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France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FC38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60.1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B74E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39.9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DF57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440</w:t>
            </w:r>
          </w:p>
        </w:tc>
      </w:tr>
      <w:tr w:rsidR="00182AA1" w:rsidRPr="00182AA1" w14:paraId="12716CB5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0A69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Italie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635E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66.1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E57E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33.9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CC2C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436</w:t>
            </w:r>
          </w:p>
        </w:tc>
      </w:tr>
      <w:tr w:rsidR="00182AA1" w:rsidRPr="00182AA1" w14:paraId="4C7DB0B3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227D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Autriche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DADF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67.0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5F1A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33.0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23DD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367</w:t>
            </w:r>
          </w:p>
        </w:tc>
      </w:tr>
      <w:tr w:rsidR="00182AA1" w:rsidRPr="00182AA1" w14:paraId="0B179984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9BF8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Portugal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43E0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72.7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A67D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27.3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F981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343</w:t>
            </w:r>
          </w:p>
        </w:tc>
      </w:tr>
      <w:tr w:rsidR="00182AA1" w:rsidRPr="00182AA1" w14:paraId="007B2760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13A7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Espagne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B813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72.0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728B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28.0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F677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369</w:t>
            </w:r>
          </w:p>
        </w:tc>
      </w:tr>
      <w:tr w:rsidR="00182AA1" w:rsidRPr="00182AA1" w14:paraId="048BF0FC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2FD2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OCDE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49A1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80.3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8FA0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19.7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BF18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723</w:t>
            </w:r>
          </w:p>
        </w:tc>
      </w:tr>
      <w:tr w:rsidR="00182AA1" w:rsidRPr="00182AA1" w14:paraId="42AF0D63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B15E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Afrique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1101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67.4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3380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32.6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6AC5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420</w:t>
            </w:r>
          </w:p>
        </w:tc>
      </w:tr>
      <w:tr w:rsidR="00182AA1" w:rsidRPr="00182AA1" w14:paraId="33381B1B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78B0" w14:textId="75EEF131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Am</w:t>
            </w:r>
            <w:r w:rsid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é</w:t>
            </w: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rique latine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DD17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71.1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D6F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28.9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A29C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657</w:t>
            </w:r>
          </w:p>
        </w:tc>
      </w:tr>
      <w:tr w:rsidR="00182AA1" w:rsidRPr="00182AA1" w14:paraId="0E88260D" w14:textId="77777777" w:rsidTr="00182AA1">
        <w:trPr>
          <w:trHeight w:val="297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ABE2" w14:textId="77777777" w:rsidR="00182AA1" w:rsidRPr="00182AA1" w:rsidRDefault="00182AA1" w:rsidP="00182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Asie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C51C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76.8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8C00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23.3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CB1E" w14:textId="77777777" w:rsidR="00182AA1" w:rsidRPr="00182AA1" w:rsidRDefault="00182AA1" w:rsidP="00182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182AA1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785</w:t>
            </w:r>
          </w:p>
        </w:tc>
      </w:tr>
    </w:tbl>
    <w:p w14:paraId="03F3CE88" w14:textId="77777777" w:rsidR="00182AA1" w:rsidRDefault="00182AA1" w:rsidP="00C577D4"/>
    <w:p w14:paraId="2DDFB3E4" w14:textId="77777777" w:rsidR="00944119" w:rsidRDefault="00944119" w:rsidP="00C577D4"/>
    <w:p w14:paraId="17DDCCBD" w14:textId="4600A66D" w:rsidR="00E5209C" w:rsidRDefault="00E5209C" w:rsidP="00C577D4">
      <w:r w:rsidRPr="001B6FBE">
        <w:rPr>
          <w:b/>
          <w:bCs/>
        </w:rPr>
        <w:lastRenderedPageBreak/>
        <w:t>Focus </w:t>
      </w:r>
      <w:r>
        <w:t>: Parmi les personnes qui étaient en couple au moment de la migration le déplacement se fait rarement ensemble (environ 1 fois sur 3)</w:t>
      </w:r>
    </w:p>
    <w:p w14:paraId="3B590737" w14:textId="076B2D7B" w:rsidR="00944119" w:rsidRPr="00944119" w:rsidRDefault="00944119" w:rsidP="00C577D4">
      <w:pPr>
        <w:rPr>
          <w:lang w:val="en-US"/>
        </w:rPr>
      </w:pPr>
      <w:r w:rsidRPr="00944119">
        <w:rPr>
          <w:lang w:val="en-US"/>
        </w:rPr>
        <w:t xml:space="preserve">(Among people who were in a </w:t>
      </w:r>
      <w:r>
        <w:rPr>
          <w:lang w:val="en-US"/>
        </w:rPr>
        <w:t>relationship</w:t>
      </w:r>
      <w:r w:rsidRPr="00944119">
        <w:rPr>
          <w:lang w:val="en-US"/>
        </w:rPr>
        <w:t xml:space="preserve"> at the time of migration, the trip is rarely made together</w:t>
      </w:r>
      <w:r>
        <w:rPr>
          <w:lang w:val="en-US"/>
        </w:rPr>
        <w:t xml:space="preserve"> - a</w:t>
      </w:r>
      <w:r w:rsidRPr="00944119">
        <w:rPr>
          <w:lang w:val="en-US"/>
        </w:rPr>
        <w:t>bout 1 in 3 times)</w:t>
      </w:r>
    </w:p>
    <w:tbl>
      <w:tblPr>
        <w:tblW w:w="7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200"/>
        <w:gridCol w:w="1200"/>
        <w:gridCol w:w="1200"/>
        <w:gridCol w:w="1200"/>
      </w:tblGrid>
      <w:tr w:rsidR="00E5209C" w:rsidRPr="00E5209C" w14:paraId="38F3B269" w14:textId="77777777" w:rsidTr="00E5209C">
        <w:trPr>
          <w:trHeight w:val="300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6E54D" w14:textId="47DB173E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Année d’arrivée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A467" w14:textId="77777777" w:rsidR="00E5209C" w:rsidRPr="00E5209C" w:rsidRDefault="00E5209C" w:rsidP="00E520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Partenaire déjà en Suisse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56" w14:textId="77777777" w:rsidR="00E5209C" w:rsidRPr="00E5209C" w:rsidRDefault="00E5209C" w:rsidP="00E520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Migration ensemble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D71" w14:textId="77777777" w:rsidR="00E5209C" w:rsidRPr="00E5209C" w:rsidRDefault="00E5209C" w:rsidP="00E520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Partenaire a migré après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E4D7" w14:textId="77777777" w:rsidR="00E5209C" w:rsidRPr="00E5209C" w:rsidRDefault="00E5209C" w:rsidP="00E520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Partenaire n'a pas encore migré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F1A2" w14:textId="77777777" w:rsidR="00E5209C" w:rsidRPr="00E5209C" w:rsidRDefault="00E5209C" w:rsidP="00E520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N</w:t>
            </w:r>
          </w:p>
        </w:tc>
      </w:tr>
      <w:tr w:rsidR="00E5209C" w:rsidRPr="00E5209C" w14:paraId="62E579F3" w14:textId="77777777" w:rsidTr="00E5209C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048D2" w14:textId="77777777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2020-2022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6A8F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42.3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CA4D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35.8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C5372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11.0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A34F9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185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699</w:t>
            </w:r>
          </w:p>
        </w:tc>
      </w:tr>
      <w:tr w:rsidR="00E5209C" w:rsidRPr="00E5209C" w14:paraId="3C5F2B21" w14:textId="77777777" w:rsidTr="00E5209C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4FE6" w14:textId="77777777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2015-2019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9DE42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47.6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04A30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31.1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B06D5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14.1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1C25E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7.2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A5157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2162</w:t>
            </w:r>
          </w:p>
        </w:tc>
      </w:tr>
      <w:tr w:rsidR="00E5209C" w:rsidRPr="00E5209C" w14:paraId="2E16910E" w14:textId="77777777" w:rsidTr="00E5209C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6777E" w14:textId="77777777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2010-2014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2E2D5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43.7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4D8DA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FE402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18.3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AFF24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8.0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AB67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1938</w:t>
            </w:r>
          </w:p>
        </w:tc>
      </w:tr>
      <w:tr w:rsidR="00E5209C" w:rsidRPr="00E5209C" w14:paraId="3A0B7E7A" w14:textId="77777777" w:rsidTr="00E5209C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784CD" w14:textId="77777777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2006-2009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E879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35.8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45A8A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39.9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219D5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5AE9C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87348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428</w:t>
            </w:r>
          </w:p>
        </w:tc>
      </w:tr>
      <w:tr w:rsidR="00E5209C" w:rsidRPr="00E5209C" w14:paraId="3065057D" w14:textId="77777777" w:rsidTr="00E5209C">
        <w:trPr>
          <w:trHeight w:val="30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FE8C2" w14:textId="77777777" w:rsidR="00E5209C" w:rsidRPr="00E5209C" w:rsidRDefault="00E5209C" w:rsidP="00E52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CH"/>
                <w14:ligatures w14:val="none"/>
              </w:rPr>
              <w:t>Ensemble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13D89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44.6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26931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32.0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A4E06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15.7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01220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7.8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41637" w14:textId="77777777" w:rsidR="00E5209C" w:rsidRPr="00E5209C" w:rsidRDefault="00E5209C" w:rsidP="00E520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E5209C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5227</w:t>
            </w:r>
          </w:p>
        </w:tc>
      </w:tr>
    </w:tbl>
    <w:p w14:paraId="55689880" w14:textId="77777777" w:rsidR="00E5209C" w:rsidRDefault="00E5209C" w:rsidP="00C577D4"/>
    <w:p w14:paraId="4B074DF5" w14:textId="77777777" w:rsidR="00E5209C" w:rsidRDefault="00E5209C" w:rsidP="00C577D4"/>
    <w:p w14:paraId="4064B5F9" w14:textId="77777777" w:rsidR="00182AA1" w:rsidRDefault="00182AA1" w:rsidP="00C577D4"/>
    <w:p w14:paraId="3BF040D1" w14:textId="6C95FD70" w:rsidR="002717D6" w:rsidRPr="004D65AD" w:rsidRDefault="002717D6" w:rsidP="004D65AD">
      <w:pPr>
        <w:pStyle w:val="docdata"/>
        <w:spacing w:before="0" w:beforeAutospacing="0" w:after="0" w:afterAutospacing="0"/>
        <w:jc w:val="both"/>
        <w:rPr>
          <w:lang w:val="en-US"/>
        </w:rPr>
      </w:pPr>
      <w:r w:rsidRPr="00DE15A7">
        <w:rPr>
          <w:lang w:val="en-US"/>
        </w:rPr>
        <w:br w:type="column"/>
      </w:r>
      <w:r>
        <w:rPr>
          <w:rFonts w:ascii="Calibri" w:hAnsi="Calibri" w:cs="Calibri"/>
          <w:color w:val="000000"/>
          <w:u w:val="single"/>
          <w:lang w:val="en-US"/>
        </w:rPr>
        <w:lastRenderedPageBreak/>
        <w:t>Section “</w:t>
      </w:r>
      <w:r w:rsidR="004D65AD" w:rsidRPr="004D65AD">
        <w:rPr>
          <w:rFonts w:ascii="Calibri" w:hAnsi="Calibri" w:cs="Calibri"/>
          <w:color w:val="000000"/>
          <w:u w:val="single"/>
          <w:lang w:val="en-US"/>
        </w:rPr>
        <w:t>Employment history and current situation</w:t>
      </w:r>
      <w:r>
        <w:rPr>
          <w:rFonts w:ascii="Calibri" w:hAnsi="Calibri" w:cs="Calibri"/>
          <w:color w:val="000000"/>
          <w:u w:val="single"/>
          <w:lang w:val="en-US"/>
        </w:rPr>
        <w:t>”</w:t>
      </w:r>
    </w:p>
    <w:p w14:paraId="7C87E988" w14:textId="5BE0036D" w:rsidR="00C577D4" w:rsidRDefault="00182AA1" w:rsidP="00C577D4">
      <w:pPr>
        <w:rPr>
          <w:b/>
          <w:bCs/>
          <w:sz w:val="36"/>
          <w:szCs w:val="36"/>
        </w:rPr>
      </w:pPr>
      <w:r w:rsidRPr="00182AA1">
        <w:rPr>
          <w:b/>
          <w:bCs/>
          <w:sz w:val="36"/>
          <w:szCs w:val="36"/>
        </w:rPr>
        <w:t>L</w:t>
      </w:r>
      <w:r w:rsidR="00C577D4" w:rsidRPr="00182AA1">
        <w:rPr>
          <w:b/>
          <w:bCs/>
          <w:sz w:val="36"/>
          <w:szCs w:val="36"/>
        </w:rPr>
        <w:t>es partenaires</w:t>
      </w:r>
      <w:r w:rsidRPr="00182AA1">
        <w:rPr>
          <w:b/>
          <w:bCs/>
          <w:sz w:val="36"/>
          <w:szCs w:val="36"/>
        </w:rPr>
        <w:t xml:space="preserve"> s’intègrent plus difficilement sur le marché du travail</w:t>
      </w:r>
    </w:p>
    <w:p w14:paraId="540FCFD4" w14:textId="77FAC611" w:rsidR="004D65AD" w:rsidRPr="00220BBD" w:rsidRDefault="00220BBD" w:rsidP="00C577D4">
      <w:pPr>
        <w:rPr>
          <w:b/>
          <w:bCs/>
          <w:sz w:val="36"/>
          <w:szCs w:val="36"/>
          <w:lang w:val="en-US"/>
        </w:rPr>
      </w:pPr>
      <w:r w:rsidRPr="00220BBD">
        <w:rPr>
          <w:b/>
          <w:bCs/>
          <w:sz w:val="36"/>
          <w:szCs w:val="36"/>
          <w:lang w:val="en-US"/>
        </w:rPr>
        <w:t>(Partners have a harder time integration in the job market</w:t>
      </w:r>
      <w:r>
        <w:rPr>
          <w:b/>
          <w:bCs/>
          <w:sz w:val="36"/>
          <w:szCs w:val="36"/>
          <w:lang w:val="en-US"/>
        </w:rPr>
        <w:t>)</w:t>
      </w:r>
    </w:p>
    <w:p w14:paraId="31123FD4" w14:textId="413D4C08" w:rsidR="00C577D4" w:rsidRDefault="00182AA1" w:rsidP="00C577D4">
      <w:pPr>
        <w:rPr>
          <w:b/>
          <w:bCs/>
        </w:rPr>
      </w:pPr>
      <w:r>
        <w:rPr>
          <w:b/>
          <w:bCs/>
        </w:rPr>
        <w:t>Données</w:t>
      </w:r>
    </w:p>
    <w:p w14:paraId="21B7277D" w14:textId="05823114" w:rsidR="00F576E4" w:rsidRDefault="00F576E4" w:rsidP="00C577D4">
      <w:r>
        <w:t xml:space="preserve">Proportion de personnes qui considèrent ne pas utiliser leurs compétences sur le marché du travail. La différence entre hommes et femmes semble augmenter, les femmes étant plus concernées par la </w:t>
      </w:r>
      <w:proofErr w:type="gramStart"/>
      <w:r>
        <w:t>non utilisation</w:t>
      </w:r>
      <w:proofErr w:type="gramEnd"/>
      <w:r>
        <w:t xml:space="preserve"> de leurs compétences</w:t>
      </w:r>
    </w:p>
    <w:p w14:paraId="3111EC05" w14:textId="542A6F38" w:rsidR="00923C83" w:rsidRPr="009B7327" w:rsidRDefault="00923C83" w:rsidP="00C577D4">
      <w:pPr>
        <w:rPr>
          <w:lang w:val="en-US"/>
        </w:rPr>
      </w:pPr>
      <w:r w:rsidRPr="00923C83">
        <w:rPr>
          <w:lang w:val="en-US"/>
        </w:rPr>
        <w:t xml:space="preserve">(Proportion of </w:t>
      </w:r>
      <w:r>
        <w:rPr>
          <w:lang w:val="en-US"/>
        </w:rPr>
        <w:t>respondents</w:t>
      </w:r>
      <w:r w:rsidRPr="00923C83">
        <w:rPr>
          <w:lang w:val="en-US"/>
        </w:rPr>
        <w:t xml:space="preserve"> who consider that they are not using their skills on the job market. The difference between men and women seems to be increasing, with women being more </w:t>
      </w:r>
      <w:r w:rsidR="009B7327">
        <w:rPr>
          <w:lang w:val="en-US"/>
        </w:rPr>
        <w:t>affected</w:t>
      </w:r>
      <w:r w:rsidRPr="00923C83">
        <w:rPr>
          <w:lang w:val="en-US"/>
        </w:rPr>
        <w:t xml:space="preserve"> </w:t>
      </w:r>
      <w:r w:rsidR="009B7327">
        <w:rPr>
          <w:lang w:val="en-US"/>
        </w:rPr>
        <w:t>by</w:t>
      </w:r>
      <w:r w:rsidRPr="00923C83">
        <w:rPr>
          <w:lang w:val="en-US"/>
        </w:rPr>
        <w:t xml:space="preserve"> not using their skills.)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18"/>
        <w:gridCol w:w="1200"/>
        <w:gridCol w:w="1200"/>
      </w:tblGrid>
      <w:tr w:rsidR="00F576E4" w:rsidRPr="00F576E4" w14:paraId="2214B70A" w14:textId="77777777" w:rsidTr="00F576E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BF92" w14:textId="77777777" w:rsidR="00F576E4" w:rsidRPr="009B7327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</w:pPr>
            <w:r w:rsidRPr="009B732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4A1" w14:textId="77777777" w:rsidR="00F576E4" w:rsidRPr="009B7327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</w:pPr>
            <w:r w:rsidRPr="009B732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5DFF" w14:textId="0DE88C4F" w:rsidR="00F576E4" w:rsidRPr="00F576E4" w:rsidRDefault="006845BB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9B732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fr-CH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Compétences non utilisées (en 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BA62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04A9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Gap</w:t>
            </w:r>
          </w:p>
        </w:tc>
      </w:tr>
      <w:tr w:rsidR="00F576E4" w:rsidRPr="00F576E4" w14:paraId="506679DD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C6FD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8EE9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Hommes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408E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8577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0610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7.9</w:t>
            </w:r>
          </w:p>
        </w:tc>
      </w:tr>
      <w:tr w:rsidR="00F576E4" w:rsidRPr="00F576E4" w14:paraId="28E4C6BB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FC43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5C2C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Femmes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8EA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23.1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262F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2674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B65D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F576E4" w:rsidRPr="00F576E4" w14:paraId="7282C378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CF92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F37F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Hommes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D38DC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13.5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B3514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FBFC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7.7</w:t>
            </w:r>
          </w:p>
        </w:tc>
      </w:tr>
      <w:tr w:rsidR="00F576E4" w:rsidRPr="00F576E4" w14:paraId="39E3DA7B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CA08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5D0F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Femmes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595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21.2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5E5CA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2630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6D38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F576E4" w:rsidRPr="00F576E4" w14:paraId="5C3192D5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720E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66F7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Hommes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F084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15.2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2C92E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3345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994A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7.3</w:t>
            </w:r>
          </w:p>
        </w:tc>
      </w:tr>
      <w:tr w:rsidR="00F576E4" w:rsidRPr="00F576E4" w14:paraId="71A18215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E53E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82FF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Femmes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333B2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3234F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rial" w:eastAsia="Times New Roman" w:hAnsi="Arial" w:cs="Arial"/>
                <w:color w:val="000000"/>
                <w:kern w:val="0"/>
                <w:lang w:eastAsia="fr-CH"/>
                <w14:ligatures w14:val="none"/>
              </w:rPr>
              <w:t>2687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5A0C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F576E4" w:rsidRPr="00F576E4" w14:paraId="2C7A08C0" w14:textId="77777777" w:rsidTr="00F576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460E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6C9D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A198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proofErr w:type="gramStart"/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pas</w:t>
            </w:r>
            <w:proofErr w:type="gramEnd"/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 xml:space="preserve"> posé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26E7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27DD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</w:tbl>
    <w:p w14:paraId="2717EC42" w14:textId="77777777" w:rsidR="00F576E4" w:rsidRDefault="00F576E4" w:rsidP="00C577D4">
      <w:pPr>
        <w:rPr>
          <w:b/>
          <w:bCs/>
        </w:rPr>
      </w:pPr>
    </w:p>
    <w:p w14:paraId="19770E33" w14:textId="1673CA7D" w:rsidR="00C577D4" w:rsidRDefault="00182AA1" w:rsidP="00C577D4">
      <w:pPr>
        <w:rPr>
          <w:b/>
          <w:bCs/>
        </w:rPr>
      </w:pPr>
      <w:r>
        <w:rPr>
          <w:b/>
          <w:bCs/>
        </w:rPr>
        <w:t>Focus</w:t>
      </w:r>
    </w:p>
    <w:p w14:paraId="426F68DB" w14:textId="49474D82" w:rsidR="00F576E4" w:rsidRDefault="00F576E4" w:rsidP="00C577D4">
      <w:r>
        <w:t>La non-utilisation des compétences concerne plus les migrants récents (temps d’adaptation)</w:t>
      </w:r>
    </w:p>
    <w:p w14:paraId="71AA8616" w14:textId="7A05CE9D" w:rsidR="009B7327" w:rsidRPr="009B7327" w:rsidRDefault="009B7327" w:rsidP="00C577D4">
      <w:pPr>
        <w:rPr>
          <w:lang w:val="en-US"/>
        </w:rPr>
      </w:pPr>
      <w:r>
        <w:rPr>
          <w:lang w:val="en-US"/>
        </w:rPr>
        <w:t>(Non-use</w:t>
      </w:r>
      <w:r w:rsidRPr="009B7327">
        <w:rPr>
          <w:lang w:val="en-US"/>
        </w:rPr>
        <w:t xml:space="preserve"> of skills </w:t>
      </w:r>
      <w:r>
        <w:rPr>
          <w:lang w:val="en-US"/>
        </w:rPr>
        <w:t>affects</w:t>
      </w:r>
      <w:r w:rsidRPr="009B7327">
        <w:rPr>
          <w:lang w:val="en-US"/>
        </w:rPr>
        <w:t xml:space="preserve"> more recent migrants (adaptation time</w:t>
      </w:r>
      <w:proofErr w:type="gramStart"/>
      <w:r w:rsidRPr="009B7327">
        <w:rPr>
          <w:lang w:val="en-US"/>
        </w:rPr>
        <w:t>)</w:t>
      </w:r>
      <w:r>
        <w:rPr>
          <w:lang w:val="en-US"/>
        </w:rPr>
        <w:t xml:space="preserve"> )</w:t>
      </w:r>
      <w:proofErr w:type="gramEnd"/>
    </w:p>
    <w:tbl>
      <w:tblPr>
        <w:tblW w:w="4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418"/>
        <w:gridCol w:w="1200"/>
      </w:tblGrid>
      <w:tr w:rsidR="00F576E4" w:rsidRPr="00F576E4" w14:paraId="2046F128" w14:textId="77777777" w:rsidTr="00F576E4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51B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Années d'immigration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01C8" w14:textId="1D42F065" w:rsidR="00F576E4" w:rsidRPr="00F576E4" w:rsidRDefault="006845BB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Compétences non utilisées (en 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3F9C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F576E4" w:rsidRPr="00F576E4" w14:paraId="7D311133" w14:textId="77777777" w:rsidTr="00F576E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48D2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2020-2022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9075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19.9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AF1F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694</w:t>
            </w:r>
          </w:p>
        </w:tc>
      </w:tr>
      <w:tr w:rsidR="00F576E4" w:rsidRPr="00F576E4" w14:paraId="60EF4747" w14:textId="77777777" w:rsidTr="00F576E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2AB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2015-2019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FEC0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19.7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E36B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2363</w:t>
            </w:r>
          </w:p>
        </w:tc>
      </w:tr>
      <w:tr w:rsidR="00F576E4" w:rsidRPr="00F576E4" w14:paraId="5405D183" w14:textId="77777777" w:rsidTr="00F576E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4C9A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2010-2014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9AC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17.9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A47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2295</w:t>
            </w:r>
          </w:p>
        </w:tc>
      </w:tr>
      <w:tr w:rsidR="00F576E4" w:rsidRPr="00F576E4" w14:paraId="2947CD91" w14:textId="77777777" w:rsidTr="00F576E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5F82" w14:textId="77777777" w:rsidR="00F576E4" w:rsidRPr="00F576E4" w:rsidRDefault="00F576E4" w:rsidP="00F576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2006-2009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0505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14.1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8855" w14:textId="77777777" w:rsidR="00F576E4" w:rsidRPr="00F576E4" w:rsidRDefault="00F576E4" w:rsidP="00F576E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F576E4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562</w:t>
            </w:r>
          </w:p>
        </w:tc>
      </w:tr>
    </w:tbl>
    <w:p w14:paraId="474686D1" w14:textId="77777777" w:rsidR="00F576E4" w:rsidRDefault="00F576E4" w:rsidP="00C577D4">
      <w:pPr>
        <w:rPr>
          <w:b/>
          <w:bCs/>
        </w:rPr>
      </w:pPr>
    </w:p>
    <w:p w14:paraId="65E5D05B" w14:textId="77777777" w:rsidR="001B6FBE" w:rsidRDefault="001B6FBE" w:rsidP="00C577D4">
      <w:pPr>
        <w:rPr>
          <w:b/>
          <w:bCs/>
        </w:rPr>
      </w:pPr>
    </w:p>
    <w:p w14:paraId="3F6A3764" w14:textId="77777777" w:rsidR="001B6FBE" w:rsidRDefault="001B6FBE" w:rsidP="00C577D4">
      <w:pPr>
        <w:rPr>
          <w:b/>
          <w:bCs/>
        </w:rPr>
      </w:pPr>
    </w:p>
    <w:p w14:paraId="510BB1CA" w14:textId="77777777" w:rsidR="001B6FBE" w:rsidRDefault="001B6FBE" w:rsidP="00C577D4">
      <w:pPr>
        <w:rPr>
          <w:b/>
          <w:bCs/>
        </w:rPr>
      </w:pPr>
    </w:p>
    <w:p w14:paraId="321DC4ED" w14:textId="77777777" w:rsidR="001B6FBE" w:rsidRDefault="001B6FBE" w:rsidP="00C577D4">
      <w:pPr>
        <w:rPr>
          <w:b/>
          <w:bCs/>
        </w:rPr>
      </w:pPr>
    </w:p>
    <w:p w14:paraId="353C7D0C" w14:textId="77777777" w:rsidR="001B6FBE" w:rsidRDefault="001B6FBE" w:rsidP="00C577D4">
      <w:pPr>
        <w:rPr>
          <w:b/>
          <w:bCs/>
        </w:rPr>
      </w:pPr>
    </w:p>
    <w:p w14:paraId="79F5E91D" w14:textId="5EBE99F5" w:rsidR="006845BB" w:rsidRDefault="006845BB" w:rsidP="00C577D4">
      <w:pPr>
        <w:rPr>
          <w:b/>
          <w:bCs/>
        </w:rPr>
      </w:pPr>
      <w:r>
        <w:rPr>
          <w:b/>
          <w:bCs/>
        </w:rPr>
        <w:lastRenderedPageBreak/>
        <w:t>Focus</w:t>
      </w:r>
    </w:p>
    <w:p w14:paraId="1CB03889" w14:textId="247083E1" w:rsidR="006845BB" w:rsidRDefault="006845BB" w:rsidP="00C577D4">
      <w:r w:rsidRPr="006845BB">
        <w:t>La non-utilisation des compétences</w:t>
      </w:r>
      <w:r>
        <w:t xml:space="preserve"> au travail concerne principalement les femmes originaires de pays européens hors UE/AELE (Balkans notamment), d’Afrique, d’Amérique latine et du Portugal.</w:t>
      </w:r>
    </w:p>
    <w:p w14:paraId="2AE1D7BD" w14:textId="1A0B5137" w:rsidR="009B7327" w:rsidRPr="009B7327" w:rsidRDefault="009B7327" w:rsidP="00C577D4">
      <w:pPr>
        <w:rPr>
          <w:lang w:val="en-US"/>
        </w:rPr>
      </w:pPr>
      <w:r>
        <w:rPr>
          <w:lang w:val="en-US"/>
        </w:rPr>
        <w:t>(</w:t>
      </w:r>
      <w:r w:rsidRPr="009B7327">
        <w:rPr>
          <w:lang w:val="en-US"/>
        </w:rPr>
        <w:t>Non-</w:t>
      </w:r>
      <w:r>
        <w:rPr>
          <w:lang w:val="en-US"/>
        </w:rPr>
        <w:t>use</w:t>
      </w:r>
      <w:r w:rsidRPr="009B7327">
        <w:rPr>
          <w:lang w:val="en-US"/>
        </w:rPr>
        <w:t xml:space="preserve"> of skills at work mainly </w:t>
      </w:r>
      <w:r w:rsidR="00B21DF3">
        <w:rPr>
          <w:lang w:val="en-US"/>
        </w:rPr>
        <w:t>affects</w:t>
      </w:r>
      <w:r w:rsidRPr="009B7327">
        <w:rPr>
          <w:lang w:val="en-US"/>
        </w:rPr>
        <w:t xml:space="preserve"> women from non-EU/EFTA European countries (notably the Balkans), Africa, Latin </w:t>
      </w:r>
      <w:proofErr w:type="gramStart"/>
      <w:r w:rsidRPr="009B7327">
        <w:rPr>
          <w:lang w:val="en-US"/>
        </w:rPr>
        <w:t>America</w:t>
      </w:r>
      <w:proofErr w:type="gramEnd"/>
      <w:r w:rsidRPr="009B7327">
        <w:rPr>
          <w:lang w:val="en-US"/>
        </w:rPr>
        <w:t xml:space="preserve"> and Portugal</w:t>
      </w:r>
      <w:r>
        <w:rPr>
          <w:lang w:val="en-US"/>
        </w:rPr>
        <w:t>)</w:t>
      </w:r>
    </w:p>
    <w:tbl>
      <w:tblPr>
        <w:tblW w:w="52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650"/>
        <w:gridCol w:w="1650"/>
      </w:tblGrid>
      <w:tr w:rsidR="006845BB" w:rsidRPr="006845BB" w14:paraId="646C7781" w14:textId="77777777" w:rsidTr="006845BB">
        <w:trPr>
          <w:trHeight w:val="288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513C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Origine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56B2" w14:textId="34FF50F4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Compétences non utilisées (en %)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B3B7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 </w:t>
            </w:r>
          </w:p>
        </w:tc>
      </w:tr>
      <w:tr w:rsidR="006845BB" w:rsidRPr="006845BB" w14:paraId="4D6DB1DE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BCD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Europe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C70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34.5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0425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275</w:t>
            </w:r>
          </w:p>
        </w:tc>
      </w:tr>
      <w:tr w:rsidR="006845BB" w:rsidRPr="006845BB" w14:paraId="77F42662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4DC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UE/AELE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BBEB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23.5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F5A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625</w:t>
            </w:r>
          </w:p>
        </w:tc>
      </w:tr>
      <w:tr w:rsidR="006845BB" w:rsidRPr="006845BB" w14:paraId="029FE0EC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83DF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Allemagne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EF08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14.8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EAD7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200</w:t>
            </w:r>
          </w:p>
        </w:tc>
      </w:tr>
      <w:tr w:rsidR="006845BB" w:rsidRPr="006845BB" w14:paraId="35E08348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74A8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France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3057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8.8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6C3E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180</w:t>
            </w:r>
          </w:p>
        </w:tc>
      </w:tr>
      <w:tr w:rsidR="006845BB" w:rsidRPr="006845BB" w14:paraId="697CCB3D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2545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Italie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FD0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19.4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2DCC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132</w:t>
            </w:r>
          </w:p>
        </w:tc>
      </w:tr>
      <w:tr w:rsidR="006845BB" w:rsidRPr="006845BB" w14:paraId="7F1868F3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E515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Autriche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557C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11.8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3D74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154</w:t>
            </w:r>
          </w:p>
        </w:tc>
      </w:tr>
      <w:tr w:rsidR="006845BB" w:rsidRPr="006845BB" w14:paraId="2652BD11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1C00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Portugal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113B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26.5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C720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134</w:t>
            </w:r>
          </w:p>
        </w:tc>
      </w:tr>
      <w:tr w:rsidR="006845BB" w:rsidRPr="006845BB" w14:paraId="782961B7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EF9F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Espagne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7450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21.8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FAD3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134</w:t>
            </w:r>
          </w:p>
        </w:tc>
      </w:tr>
      <w:tr w:rsidR="006845BB" w:rsidRPr="006845BB" w14:paraId="3C879DF4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AD5A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Autre OCDE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49E9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17.2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3EEB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247</w:t>
            </w:r>
          </w:p>
        </w:tc>
      </w:tr>
      <w:tr w:rsidR="006845BB" w:rsidRPr="006845BB" w14:paraId="7F2932FD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78A7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Afrique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5E6F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28.5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91E7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104</w:t>
            </w:r>
          </w:p>
        </w:tc>
      </w:tr>
      <w:tr w:rsidR="006845BB" w:rsidRPr="006845BB" w14:paraId="13553731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F93" w14:textId="4355FFD1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é</w:t>
            </w: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rique latine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3A6C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31.3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09EA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267</w:t>
            </w:r>
          </w:p>
        </w:tc>
      </w:tr>
      <w:tr w:rsidR="006845BB" w:rsidRPr="006845BB" w14:paraId="78532004" w14:textId="77777777" w:rsidTr="006845BB">
        <w:trPr>
          <w:trHeight w:val="28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1CD4" w14:textId="77777777" w:rsidR="006845BB" w:rsidRPr="006845BB" w:rsidRDefault="006845BB" w:rsidP="006845B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Asie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DC8B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18.2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66B6" w14:textId="77777777" w:rsidR="006845BB" w:rsidRPr="006845BB" w:rsidRDefault="006845BB" w:rsidP="006845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</w:pPr>
            <w:r w:rsidRPr="006845BB">
              <w:rPr>
                <w:rFonts w:ascii="Aptos Narrow" w:eastAsia="Times New Roman" w:hAnsi="Aptos Narrow" w:cs="Times New Roman"/>
                <w:color w:val="000000"/>
                <w:kern w:val="0"/>
                <w:lang w:eastAsia="fr-CH"/>
                <w14:ligatures w14:val="none"/>
              </w:rPr>
              <w:t>222</w:t>
            </w:r>
          </w:p>
        </w:tc>
      </w:tr>
    </w:tbl>
    <w:p w14:paraId="2704A132" w14:textId="77777777" w:rsidR="006845BB" w:rsidRDefault="006845BB" w:rsidP="00C577D4">
      <w:pPr>
        <w:rPr>
          <w:b/>
          <w:bCs/>
        </w:rPr>
      </w:pPr>
    </w:p>
    <w:p w14:paraId="22D25B1B" w14:textId="77777777" w:rsidR="006845BB" w:rsidRDefault="006845BB" w:rsidP="00C577D4">
      <w:pPr>
        <w:rPr>
          <w:b/>
          <w:bCs/>
        </w:rPr>
      </w:pPr>
    </w:p>
    <w:p w14:paraId="7F89BC89" w14:textId="137627D4" w:rsidR="00A03C61" w:rsidRPr="00015B35" w:rsidRDefault="00A03C61"/>
    <w:sectPr w:rsidR="00A03C61" w:rsidRPr="0001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BD"/>
    <w:rsid w:val="00015B35"/>
    <w:rsid w:val="00032406"/>
    <w:rsid w:val="0003403A"/>
    <w:rsid w:val="00122EE7"/>
    <w:rsid w:val="00182AA1"/>
    <w:rsid w:val="001B6FBE"/>
    <w:rsid w:val="001D1BBC"/>
    <w:rsid w:val="001D1FBD"/>
    <w:rsid w:val="00220BBD"/>
    <w:rsid w:val="002717D6"/>
    <w:rsid w:val="004D65AD"/>
    <w:rsid w:val="00557B76"/>
    <w:rsid w:val="005F292E"/>
    <w:rsid w:val="0062593E"/>
    <w:rsid w:val="006845BB"/>
    <w:rsid w:val="00750204"/>
    <w:rsid w:val="007A148C"/>
    <w:rsid w:val="007C41CF"/>
    <w:rsid w:val="00923C83"/>
    <w:rsid w:val="00934FE0"/>
    <w:rsid w:val="00944119"/>
    <w:rsid w:val="00963282"/>
    <w:rsid w:val="009B7327"/>
    <w:rsid w:val="00A03C61"/>
    <w:rsid w:val="00A91B41"/>
    <w:rsid w:val="00AB58EC"/>
    <w:rsid w:val="00B21DF3"/>
    <w:rsid w:val="00C577D4"/>
    <w:rsid w:val="00D350A5"/>
    <w:rsid w:val="00D5453D"/>
    <w:rsid w:val="00DE15A7"/>
    <w:rsid w:val="00E1688B"/>
    <w:rsid w:val="00E5209C"/>
    <w:rsid w:val="00EB236D"/>
    <w:rsid w:val="00F2769B"/>
    <w:rsid w:val="00F576E4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0B292"/>
  <w15:chartTrackingRefBased/>
  <w15:docId w15:val="{E5BD2660-3C1A-497D-B0B9-30714862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data">
    <w:name w:val="docdata"/>
    <w:aliases w:val="docy,v5,1029,bqiaagaaeyqcaaagiaiaaaoeawaabzidaaaaaaaaaaaaaaaaaaaaaaaaaaaaaaaaaaaaaaaaaaaaaaaaaaaaaaaaaaaaaaaaaaaaaaaaaaaaaaaaaaaaaaaaaaaaaaaaaaaaaaaaaaaaaaaaaaaaaaaaaaaaaaaaaaaaaaaaaaaaaaaaaaaaaaaaaaaaaaaaaaaaaaaaaaaaaaaaaaaaaaaaaaaaaaaaaaaaaaaa"/>
    <w:basedOn w:val="Normale"/>
    <w:rsid w:val="0075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CH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Wanner</dc:creator>
  <cp:keywords/>
  <dc:description/>
  <cp:lastModifiedBy>BARDELLI Nora</cp:lastModifiedBy>
  <cp:revision>23</cp:revision>
  <dcterms:created xsi:type="dcterms:W3CDTF">2024-11-24T07:46:00Z</dcterms:created>
  <dcterms:modified xsi:type="dcterms:W3CDTF">2024-12-19T10:51:00Z</dcterms:modified>
</cp:coreProperties>
</file>