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D-REC Data Security — Implementation Status</w:t>
      </w:r>
    </w:p>
    <w:tbl>
      <w:tblPr>
        <w:tblStyle w:val="LightGrid-Accent1"/>
        <w:tblW w:type="auto" w:w="0"/>
        <w:tblLook w:firstColumn="1" w:firstRow="1" w:lastColumn="0" w:lastRow="0" w:noHBand="0" w:noVBand="1" w:val="04A0"/>
      </w:tblPr>
      <w:tblGrid>
        <w:gridCol w:w="4320"/>
        <w:gridCol w:w="4320"/>
      </w:tblGrid>
      <w:tr>
        <w:tc>
          <w:tcPr>
            <w:tcW w:type="dxa" w:w="4320"/>
          </w:tcPr>
          <w:p>
            <w:r>
              <w:t>Date</w:t>
            </w:r>
          </w:p>
        </w:tc>
        <w:tc>
          <w:tcPr>
            <w:tcW w:type="dxa" w:w="4320"/>
          </w:tcPr>
          <w:p>
            <w:r>
              <w:t>April 2, 2026</w:t>
            </w:r>
          </w:p>
        </w:tc>
      </w:tr>
      <w:tr>
        <w:tc>
          <w:tcPr>
            <w:tcW w:type="dxa" w:w="4320"/>
          </w:tcPr>
          <w:p>
            <w:r>
              <w:t>Reference</w:t>
            </w:r>
          </w:p>
        </w:tc>
        <w:tc>
          <w:tcPr>
            <w:tcW w:type="dxa" w:w="4320"/>
          </w:tcPr>
          <w:p>
            <w:r>
              <w:t>D-REC Methodology Section 3 — Data Security</w:t>
            </w:r>
          </w:p>
        </w:tc>
      </w:tr>
      <w:tr>
        <w:tc>
          <w:tcPr>
            <w:tcW w:type="dxa" w:w="4320"/>
          </w:tcPr>
          <w:p>
            <w:r>
              <w:t>Author</w:t>
            </w:r>
          </w:p>
        </w:tc>
        <w:tc>
          <w:tcPr>
            <w:tcW w:type="dxa" w:w="4320"/>
          </w:tcPr>
          <w:p>
            <w:r>
              <w:t>Peter / D-REC Engineering</w:t>
            </w:r>
          </w:p>
        </w:tc>
      </w:tr>
    </w:tbl>
    <w:p/>
    <w:p>
      <w:r>
        <w:t>This document responds to each section of the Data Security controls defined in the D-REC Methodology, describing the current implementation status and any actions taken.</w:t>
      </w:r>
    </w:p>
    <w:p>
      <w:pPr>
        <w:pStyle w:val="Heading1"/>
      </w:pPr>
      <w:r>
        <w:t>3.1 Scope and Purpose</w:t>
      </w:r>
    </w:p>
    <w:p>
      <w:r>
        <w:t>Acknowledged. The controls below apply to production data, evidentiary information, and verification records. Non-operative controls in Version 1 are identified where applicable.</w:t>
      </w:r>
    </w:p>
    <w:p>
      <w:pPr>
        <w:pStyle w:val="Heading1"/>
      </w:pPr>
      <w:r>
        <w:t>3.2 Labelling Authority Obligations</w:t>
      </w:r>
    </w:p>
    <w:p>
      <w:pPr>
        <w:pStyle w:val="Heading2"/>
      </w:pPr>
      <w:r>
        <w:t>3.2.1 Data Storage</w:t>
      </w:r>
    </w:p>
    <w:p>
      <w:r>
        <w:t>Production data, device metadata, and evidentiary information are stored in a centralized PostgreSQL database (AWS RDS, eu-west-1). Meter read data was previously stored in a separate InfluxDB time-series database but has been migrated to PostgreSQL; InfluxDB has been decommissioned.</w:t>
      </w:r>
    </w:p>
    <w:p>
      <w:r>
        <w:t>Both the production and staging RDS instances are encrypted at rest using AWS KMS (key: 9c38a2ad-7b8c-47d2-9ecd-12c522fdd0f3).</w:t>
      </w:r>
    </w:p>
    <w:p>
      <w:pPr>
        <w:pStyle w:val="Heading2"/>
      </w:pPr>
      <w:r>
        <w:t>3.2.2 Audit Trail Integrity</w:t>
      </w:r>
    </w:p>
    <w:p>
      <w:r>
        <w:t>Verified generation data is recorded on the Energy Web Chain (EWC), providing an immutable and publicly accessible audit trail for issued certificates. This is the operative implementation under Version 1.</w:t>
      </w:r>
    </w:p>
    <w:p>
      <w:r>
        <w:t>Two additional audit mechanisms were implemented on April 2, 2026:</w:t>
      </w:r>
    </w:p>
    <w:p>
      <w:pPr>
        <w:pStyle w:val="ListBullet"/>
      </w:pPr>
      <w:r>
        <w:t>History triggers: A "history.changes" table records the full before/after state (as JSONB) of every INSERT, UPDATE, and DELETE on 15 protected tables, including the database user and timestamp. This provides the evidentiary "before" snapshot needed to reconstruct why a certificate was issued, even if the underlying record is later corrected.</w:t>
      </w:r>
    </w:p>
    <w:p>
      <w:pPr>
        <w:pStyle w:val="ListBullet"/>
      </w:pPr>
      <w:r>
        <w:t>pgAudit: The pgaudit PostgreSQL extension was enabled on the production RDS instance. All write operations (INSERT, UPDATE, DELETE) are logged to AWS CloudWatch Logs with full session context (database user, IP, timestamp, SQL statement). CloudWatch logs reside outside the database and are inaccessible even to a database superuser, providing defense-in-depth.</w:t>
      </w:r>
    </w:p>
    <w:p>
      <w:r>
        <w:t>Correction handling: The controlled exception process referenced in Section 2 is not yet implemented as an automated workflow. Corrections are currently handled manually with the original record preserved by the history triggers described above. A formal correction workflow is planned for a future release.</w:t>
      </w:r>
    </w:p>
    <w:p>
      <w:pPr>
        <w:pStyle w:val="Heading2"/>
      </w:pPr>
      <w:r>
        <w:t>3.2.3 Access Controls</w:t>
      </w:r>
    </w:p>
    <w:p>
      <w:r>
        <w:t>Role-based access control (RBAC):</w:t>
      </w:r>
    </w:p>
    <w:p>
      <w:pPr>
        <w:pStyle w:val="ListBullet"/>
      </w:pPr>
      <w:r>
        <w:t>The platform implements RBAC with the following roles: Admin, ApiUser, Reviewer, SeniorReviewer, DeviceOwner, OrganizationAdmin, Buyer, and SubBuyer. Access permissions are enforced at the API level via NestJS guards (AuthVerifiedGuard, PermissionGuard, RolesGuard) and ACL module decorators.</w:t>
      </w:r>
    </w:p>
    <w:p>
      <w:r>
        <w:t>Transport Layer Security:</w:t>
      </w:r>
    </w:p>
    <w:p>
      <w:pPr>
        <w:pStyle w:val="ListBullet"/>
      </w:pPr>
      <w:r>
        <w:t>All API traffic is served over HTTPS. RDS connections from the application use TLS.</w:t>
      </w:r>
    </w:p>
    <w:p>
      <w:r>
        <w:t>Network access controls (implemented April 2, 2026):</w:t>
      </w:r>
    </w:p>
    <w:p>
      <w:pPr>
        <w:pStyle w:val="ListBullet"/>
      </w:pPr>
      <w:r>
        <w:t>Dedicated security groups were created for each RDS instance. The production database (sg-drec-prod-db) and staging database (sg-drec-staging-db) each allow inbound connections on port 5432 only from the EKS cluster security group. The previous configuration allowed all TCP from 0.0.0.0/0 (internet-wide); this has been removed. Both databases are now unreachable from outside the VPC.</w:t>
      </w:r>
    </w:p>
    <w:p>
      <w:r>
        <w:t>Least-privilege database access (implemented April 2, 2026):</w:t>
      </w:r>
    </w:p>
    <w:p>
      <w:pPr>
        <w:pStyle w:val="ListBullet"/>
      </w:pPr>
      <w:r>
        <w:t>The production API previously connected as the PostgreSQL superuser ("postgres"). A dedicated application user ("drec_app") was created with SELECT, INSERT, and UPDATE on all tables, but DELETE revoked on 15 evidentiary and production data tables (meter_reads, device, device_group, certificate_read_model, issuer_certificate, organization, and others). The Kubernetes deployment was updated to use this restricted user.</w:t>
      </w:r>
    </w:p>
    <w:p>
      <w:r>
        <w:t>Multi-factor authentication:</w:t>
      </w:r>
    </w:p>
    <w:p>
      <w:pPr>
        <w:pStyle w:val="ListBullet"/>
      </w:pPr>
      <w:r>
        <w:t>MFA is not operative in Version 1, consistent with the methodology statement.</w:t>
      </w:r>
    </w:p>
    <w:p>
      <w:r>
        <w:t>Network monitoring and intrusion detection:</w:t>
      </w:r>
    </w:p>
    <w:p>
      <w:pPr>
        <w:pStyle w:val="ListBullet"/>
      </w:pPr>
      <w:r>
        <w:t>Not operative in Version 1, consistent with the methodology statement. Prometheus is deployed in the EKS cluster for basic infrastructure metrics.</w:t>
      </w:r>
    </w:p>
    <w:p>
      <w:pPr>
        <w:pStyle w:val="Heading2"/>
      </w:pPr>
      <w:r>
        <w:t>3.2.4 Data Validation Integrity</w:t>
      </w:r>
    </w:p>
    <w:p>
      <w:r>
        <w:t>Production data is processed through the D-MRV system, which applies automated validation checks implemented as API endpoints in the device-reviews module:</w:t>
      </w:r>
    </w:p>
    <w:p>
      <w:pPr>
        <w:pStyle w:val="ListBullet"/>
      </w:pPr>
      <w:r>
        <w:t>Source-access mode verification (Methodology §3.3)</w:t>
      </w:r>
    </w:p>
    <w:p>
      <w:pPr>
        <w:pStyle w:val="ListBullet"/>
      </w:pPr>
      <w:r>
        <w:t>Evidence pathway classification (Methodology §3.1)</w:t>
      </w:r>
    </w:p>
    <w:p>
      <w:pPr>
        <w:pStyle w:val="ListBullet"/>
      </w:pPr>
      <w:r>
        <w:t>Historical consistency analysis — detects flat-lines, spikes, zero gaps, negative values, and excessive variance (Methodology §3.7)</w:t>
      </w:r>
    </w:p>
    <w:p>
      <w:pPr>
        <w:pStyle w:val="ListBullet"/>
      </w:pPr>
      <w:r>
        <w:t>Irradiance-based production ceiling check (Methodology §3.6)</w:t>
      </w:r>
    </w:p>
    <w:p>
      <w:pPr>
        <w:pStyle w:val="ListBullet"/>
      </w:pPr>
      <w:r>
        <w:t>Compensating controls evaluation for Mode 4 devices (Methodology §3.9)</w:t>
      </w:r>
    </w:p>
    <w:p>
      <w:pPr>
        <w:pStyle w:val="ListBullet"/>
      </w:pPr>
      <w:r>
        <w:t>Cross-source verification using regression-based Performance Factor (Methodology §3.10)</w:t>
      </w:r>
    </w:p>
    <w:p>
      <w:pPr>
        <w:pStyle w:val="ListBullet"/>
      </w:pPr>
      <w:r>
        <w:t>Duplicate screening by coordinate proximity, serial number, and fingerprint (Methodology §2.6)</w:t>
      </w:r>
    </w:p>
    <w:p>
      <w:pPr>
        <w:pStyle w:val="ListBullet"/>
      </w:pPr>
      <w:r>
        <w:t>Ownership verification via document presence checks (Methodology §2.7)</w:t>
      </w:r>
    </w:p>
    <w:p>
      <w:pPr>
        <w:pStyle w:val="Heading2"/>
      </w:pPr>
      <w:r>
        <w:t>3.2.5 Backup and Restoration</w:t>
      </w:r>
    </w:p>
    <w:p>
      <w:r>
        <w:t>Automated daily backups are enabled on both RDS instances with a 35-day retention period. Backups run at 22:06 UTC. Storage is encrypted with the same KMS key as the primary data.</w:t>
      </w:r>
    </w:p>
    <w:p>
      <w:r>
        <w:t>The following controls are not operative in Version 1:</w:t>
      </w:r>
    </w:p>
    <w:p>
      <w:pPr>
        <w:pStyle w:val="ListBullet"/>
      </w:pPr>
      <w:r>
        <w:t>Incremental and full backup redundancy across multiple data centers — both RDS instances are single-AZ (prod in eu-west-1c, staging in eu-west-1a)</w:t>
      </w:r>
    </w:p>
    <w:p>
      <w:pPr>
        <w:pStyle w:val="ListBullet"/>
      </w:pPr>
      <w:r>
        <w:t>Automated disaster recovery drills</w:t>
      </w:r>
    </w:p>
    <w:p>
      <w:pPr>
        <w:pStyle w:val="ListBullet"/>
      </w:pPr>
      <w:r>
        <w:t>Automated failover mechanisms — Multi-AZ is available but not enabled due to budget constraints</w:t>
      </w:r>
    </w:p>
    <w:p>
      <w:pPr>
        <w:pStyle w:val="Heading2"/>
      </w:pPr>
      <w:r>
        <w:t>3.2.6 Data Protection</w:t>
      </w:r>
    </w:p>
    <w:p>
      <w:r>
        <w:t>Client data is stored and processed in the EU (AWS eu-west-1, Ireland). GDPR applicability is acknowledged. Retention policies are consistent with the five-year requirement defined in §3.2.8. The DELETE restriction on the application database user provides a technical safeguard against accidental data purging.</w:t>
      </w:r>
    </w:p>
    <w:p>
      <w:pPr>
        <w:pStyle w:val="Heading2"/>
      </w:pPr>
      <w:r>
        <w:t>3.2.7 Incident Response</w:t>
      </w:r>
    </w:p>
    <w:p>
      <w:r>
        <w:t>An Incident Response Procedure document was created on April 2, 2026 (see: docs/Incident Response Procedure.docx). It covers:</w:t>
      </w:r>
    </w:p>
    <w:p>
      <w:pPr>
        <w:pStyle w:val="ListBullet"/>
      </w:pPr>
      <w:r>
        <w:t>Identification — indicators and reporting channel</w:t>
      </w:r>
    </w:p>
    <w:p>
      <w:pPr>
        <w:pStyle w:val="ListBullet"/>
      </w:pPr>
      <w:r>
        <w:t>Containment — credential rotation, snapshot preservation, scope assessment</w:t>
      </w:r>
    </w:p>
    <w:p>
      <w:pPr>
        <w:pStyle w:val="ListBullet"/>
      </w:pPr>
      <w:r>
        <w:t>Investigation — timeline, root cause, impact assessment, evidence preservation</w:t>
      </w:r>
    </w:p>
    <w:p>
      <w:pPr>
        <w:pStyle w:val="ListBullet"/>
      </w:pPr>
      <w:r>
        <w:t>Notification — Issuer (Evident) within 24 hours for Severity 1–2; GDPR supervisory authority and affected data subjects within 72 hours where applicable</w:t>
      </w:r>
    </w:p>
    <w:p>
      <w:pPr>
        <w:pStyle w:val="ListBullet"/>
      </w:pPr>
      <w:r>
        <w:t>Remediation and post-incident review</w:t>
      </w:r>
    </w:p>
    <w:p>
      <w:r>
        <w:t>Response times are defined as business-hours targets, reflecting the current team size and absence of 24/7 automated alerting. These targets will be tightened as monitoring capabilities are added.</w:t>
      </w:r>
    </w:p>
    <w:p>
      <w:pPr>
        <w:pStyle w:val="Heading2"/>
      </w:pPr>
      <w:r>
        <w:t>3.2.8 Retention — Labelling Authority Records</w:t>
      </w:r>
    </w:p>
    <w:p>
      <w:r>
        <w:t>All record categories listed in the methodology are stored in PostgreSQL with no automated purge or TTL mechanism. The five-year minimum retention requirement is satisfied by default as long as records are not deleted.</w:t>
      </w:r>
    </w:p>
    <w:p>
      <w:r>
        <w:t>The DELETE restriction on the drec_app database user prevents the application from deleting records in evidentiary tables. Only the postgres superuser (not used by the application) can perform deletions on these tables.</w:t>
      </w:r>
    </w:p>
    <w:p>
      <w:r>
        <w:t>RDS automated backups provide 35-day point-in-time recovery. For longer-term backup retention beyond the RDS window, a periodic snapshot export to S3 is planned but not yet implemented.</w:t>
      </w:r>
    </w:p>
    <w:p>
      <w:pPr>
        <w:pStyle w:val="Heading1"/>
      </w:pPr>
      <w:r>
        <w:t>3.3 Registrant Obligations</w:t>
      </w:r>
    </w:p>
    <w:p>
      <w:pPr>
        <w:pStyle w:val="Heading2"/>
      </w:pPr>
      <w:r>
        <w:t>3.3.1 Raw Data Retention</w:t>
      </w:r>
    </w:p>
    <w:p>
      <w:r>
        <w:t>This is a registrant obligation. The platform stores all submitted meter reads in PostgreSQL with no expiration. The registrant is additionally responsible for retaining the raw unprocessed output from their monitoring source for a minimum of five years.</w:t>
      </w:r>
    </w:p>
    <w:p>
      <w:pPr>
        <w:pStyle w:val="Heading2"/>
      </w:pPr>
      <w:r>
        <w:t>3.3.2 Supporting Evidence Retention</w:t>
      </w:r>
    </w:p>
    <w:p>
      <w:r>
        <w:t>Uploaded documents are stored in AWS S3 with no lifecycle expiration policy. The registrant is additionally responsible for retaining their own copies of submitted documentation.</w:t>
      </w:r>
    </w:p>
    <w:p>
      <w:pPr>
        <w:pStyle w:val="Heading2"/>
      </w:pPr>
      <w:r>
        <w:t>3.3.3 Data Accuracy and Integrity</w:t>
      </w:r>
    </w:p>
    <w:p>
      <w:r>
        <w:t>Implemented April 2, 2026. Documents attached to a device cannot be uploaded, replaced, or deleted once the device review status is "approved." The guard is enforced at three mutation points:</w:t>
      </w:r>
    </w:p>
    <w:p>
      <w:pPr>
        <w:pStyle w:val="ListBullet"/>
      </w:pPr>
      <w:r>
        <w:t>POST /device-reviews/:deviceId/documents (upload via review panel)</w:t>
      </w:r>
    </w:p>
    <w:p>
      <w:pPr>
        <w:pStyle w:val="ListBullet"/>
      </w:pPr>
      <w:r>
        <w:t>DELETE /device-reviews/documents/:id (delete via review panel)</w:t>
      </w:r>
    </w:p>
    <w:p>
      <w:pPr>
        <w:pStyle w:val="ListBullet"/>
      </w:pPr>
      <w:r>
        <w:t>PUT /device/:id with file attachments (document replacement via edit form)</w:t>
      </w:r>
    </w:p>
    <w:p>
      <w:r>
        <w:t>Attempts to modify documents on an approved device return HTTP 403 Forbidden. Corrections after approval must be handled through the controlled exception process (Methodology §2).</w:t>
      </w:r>
    </w:p>
    <w:p>
      <w:r>
        <w:t>The DELETE restriction on the database user provides an additional layer: even if the API guard were bypassed, the application cannot delete rows from the device or documents tables.</w:t>
      </w:r>
    </w:p>
    <w:p>
      <w:pPr>
        <w:pStyle w:val="Heading2"/>
      </w:pPr>
      <w:r>
        <w:t>3.3.4 Access Obligations</w:t>
      </w:r>
    </w:p>
    <w:p>
      <w:r>
        <w:t>This is a contractual obligation on the registrant. The platform provides the infrastructure for document upload and meter read submission. Access requests are handled operationally on a case-by-case basis.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