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D-REC Incident Response Procedure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April 2, 2026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D-REC Labelling Authority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— Operational</w:t>
            </w:r>
          </w:p>
        </w:tc>
      </w:tr>
      <w:tr>
        <w:tc>
          <w:tcPr>
            <w:tcW w:type="dxa" w:w="4320"/>
          </w:tcPr>
          <w:p>
            <w:r>
              <w:t>Review cycle</w:t>
            </w:r>
          </w:p>
        </w:tc>
        <w:tc>
          <w:tcPr>
            <w:tcW w:type="dxa" w:w="4320"/>
          </w:tcPr>
          <w:p>
            <w:r>
              <w:t>Annual, or after any Severity 1 incident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document defines the procedure for identifying, containing, investigating, and notifying stakeholders of data security incidents affecting production data, evidentiary records, or verification records held under the D-REC Methodology.</w:t>
      </w:r>
    </w:p>
    <w:p>
      <w:r>
        <w:t>This procedure satisfies the obligation in Methodology §3.2.7.</w:t>
      </w:r>
    </w:p>
    <w:p>
      <w:pPr>
        <w:pStyle w:val="Heading1"/>
      </w:pPr>
      <w:r>
        <w:t>2. Definitions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Incident</w:t>
            </w:r>
          </w:p>
        </w:tc>
        <w:tc>
          <w:tcPr>
            <w:tcW w:type="dxa" w:w="4320"/>
          </w:tcPr>
          <w:p>
            <w:r>
              <w:t>Any event that results in, or creates material risk of, unauthorized access to, modification of, or loss of evidentiary or verification records</w:t>
            </w:r>
          </w:p>
        </w:tc>
      </w:tr>
      <w:tr>
        <w:tc>
          <w:tcPr>
            <w:tcW w:type="dxa" w:w="4320"/>
          </w:tcPr>
          <w:p>
            <w:r>
              <w:t>Near-miss</w:t>
            </w:r>
          </w:p>
        </w:tc>
        <w:tc>
          <w:tcPr>
            <w:tcW w:type="dxa" w:w="4320"/>
          </w:tcPr>
          <w:p>
            <w:r>
              <w:t>An event that could have resulted in an incident but was detected or prevented before impact</w:t>
            </w:r>
          </w:p>
        </w:tc>
      </w:tr>
      <w:tr>
        <w:tc>
          <w:tcPr>
            <w:tcW w:type="dxa" w:w="4320"/>
          </w:tcPr>
          <w:p>
            <w:r>
              <w:t>Affected data</w:t>
            </w:r>
          </w:p>
        </w:tc>
        <w:tc>
          <w:tcPr>
            <w:tcW w:type="dxa" w:w="4320"/>
          </w:tcPr>
          <w:p>
            <w:r>
              <w:t>Production data, device metadata, meter readings, certificates, documents, or audit trail records held under the Methodology</w:t>
            </w:r>
          </w:p>
        </w:tc>
      </w:tr>
      <w:tr>
        <w:tc>
          <w:tcPr>
            <w:tcW w:type="dxa" w:w="4320"/>
          </w:tcPr>
          <w:p>
            <w:r>
              <w:t>Incident lead</w:t>
            </w:r>
          </w:p>
        </w:tc>
        <w:tc>
          <w:tcPr>
            <w:tcW w:type="dxa" w:w="4320"/>
          </w:tcPr>
          <w:p>
            <w:r>
              <w:t>The person responsible for coordinating the response to a specific incident</w:t>
            </w:r>
          </w:p>
        </w:tc>
      </w:tr>
    </w:tbl>
    <w:p>
      <w:pPr>
        <w:pStyle w:val="Heading1"/>
      </w:pPr>
      <w:r>
        <w:t>3. Severity Classification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response 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2160"/>
          </w:tcPr>
          <w:p>
            <w:r>
              <w:t>1 — Critical</w:t>
            </w:r>
          </w:p>
        </w:tc>
        <w:tc>
          <w:tcPr>
            <w:tcW w:type="dxa" w:w="2160"/>
          </w:tcPr>
          <w:p>
            <w:r>
              <w:t>Confirmed unauthorized access to or modification of production/evidentiary data; data loss affecting issued certificates</w:t>
            </w:r>
          </w:p>
        </w:tc>
        <w:tc>
          <w:tcPr>
            <w:tcW w:type="dxa" w:w="2160"/>
          </w:tcPr>
          <w:p>
            <w:r>
              <w:t>&lt; 4 hours during business hours; next business day otherwise (target)</w:t>
            </w:r>
          </w:p>
        </w:tc>
        <w:tc>
          <w:tcPr>
            <w:tcW w:type="dxa" w:w="2160"/>
          </w:tcPr>
          <w:p>
            <w:r>
              <w:t>DB breach, certificate tampering, ransomware</w:t>
            </w:r>
          </w:p>
        </w:tc>
      </w:tr>
      <w:tr>
        <w:tc>
          <w:tcPr>
            <w:tcW w:type="dxa" w:w="2160"/>
          </w:tcPr>
          <w:p>
            <w:r>
              <w:t>2 — High</w:t>
            </w:r>
          </w:p>
        </w:tc>
        <w:tc>
          <w:tcPr>
            <w:tcW w:type="dxa" w:w="2160"/>
          </w:tcPr>
          <w:p>
            <w:r>
              <w:t>Unauthorized access to infrastructure with potential to reach evidentiary data; service outage affecting data integrity</w:t>
            </w:r>
          </w:p>
        </w:tc>
        <w:tc>
          <w:tcPr>
            <w:tcW w:type="dxa" w:w="2160"/>
          </w:tcPr>
          <w:p>
            <w:r>
              <w:t>&lt; 8 hours during business hours; next business day otherwise (target)</w:t>
            </w:r>
          </w:p>
        </w:tc>
        <w:tc>
          <w:tcPr>
            <w:tcW w:type="dxa" w:w="2160"/>
          </w:tcPr>
          <w:p>
            <w:r>
              <w:t>Compromised credentials, RDS exposure, pod escape</w:t>
            </w:r>
          </w:p>
        </w:tc>
      </w:tr>
      <w:tr>
        <w:tc>
          <w:tcPr>
            <w:tcW w:type="dxa" w:w="2160"/>
          </w:tcPr>
          <w:p>
            <w:r>
              <w:t>3 — Medium</w:t>
            </w:r>
          </w:p>
        </w:tc>
        <w:tc>
          <w:tcPr>
            <w:tcW w:type="dxa" w:w="2160"/>
          </w:tcPr>
          <w:p>
            <w:r>
              <w:t>Attempted unauthorized access blocked by controls; vulnerability discovered in production</w:t>
            </w:r>
          </w:p>
        </w:tc>
        <w:tc>
          <w:tcPr>
            <w:tcW w:type="dxa" w:w="2160"/>
          </w:tcPr>
          <w:p>
            <w:r>
              <w:t>&lt; 2 business days (target)</w:t>
            </w:r>
          </w:p>
        </w:tc>
        <w:tc>
          <w:tcPr>
            <w:tcW w:type="dxa" w:w="2160"/>
          </w:tcPr>
          <w:p>
            <w:r>
              <w:t>Failed brute-force, unpatched CVE in prod dependency</w:t>
            </w:r>
          </w:p>
        </w:tc>
      </w:tr>
      <w:tr>
        <w:tc>
          <w:tcPr>
            <w:tcW w:type="dxa" w:w="2160"/>
          </w:tcPr>
          <w:p>
            <w:r>
              <w:t>4 — Low</w:t>
            </w:r>
          </w:p>
        </w:tc>
        <w:tc>
          <w:tcPr>
            <w:tcW w:type="dxa" w:w="2160"/>
          </w:tcPr>
          <w:p>
            <w:r>
              <w:t>Near-miss or policy violation with no data impact</w:t>
            </w:r>
          </w:p>
        </w:tc>
        <w:tc>
          <w:tcPr>
            <w:tcW w:type="dxa" w:w="2160"/>
          </w:tcPr>
          <w:p>
            <w:r>
              <w:t>&lt; 5 business days (target)</w:t>
            </w:r>
          </w:p>
        </w:tc>
        <w:tc>
          <w:tcPr>
            <w:tcW w:type="dxa" w:w="2160"/>
          </w:tcPr>
          <w:p>
            <w:r>
              <w:t>Misconfigured staging SG, accidental broad IAM grant reverted</w:t>
            </w:r>
          </w:p>
        </w:tc>
      </w:tr>
    </w:tbl>
    <w:p>
      <w:pPr>
        <w:pStyle w:val="Heading1"/>
      </w:pPr>
      <w:r>
        <w:t>4. Procedure</w:t>
      </w:r>
    </w:p>
    <w:p>
      <w:pPr>
        <w:pStyle w:val="Heading2"/>
      </w:pPr>
      <w:r>
        <w:t>4.1 Identification</w:t>
      </w:r>
    </w:p>
    <w:p>
      <w:r>
        <w:t>Any team member who observes or suspects an incident must report it immediately to the incident lead via the established internal channel.</w:t>
      </w:r>
    </w:p>
    <w:p>
      <w:r>
        <w:t>Indicators include but are not limited to:</w:t>
      </w:r>
    </w:p>
    <w:p>
      <w:pPr>
        <w:pStyle w:val="ListBullet"/>
      </w:pPr>
      <w:r>
        <w:t>Unexpected database queries or access patterns</w:t>
      </w:r>
    </w:p>
    <w:p>
      <w:pPr>
        <w:pStyle w:val="ListBullet"/>
      </w:pPr>
      <w:r>
        <w:t>Alerts from monitoring or logging systems</w:t>
      </w:r>
    </w:p>
    <w:p>
      <w:pPr>
        <w:pStyle w:val="ListBullet"/>
      </w:pPr>
      <w:r>
        <w:t>Reports from external parties (customers, security researchers, issuer)</w:t>
      </w:r>
    </w:p>
    <w:p>
      <w:pPr>
        <w:pStyle w:val="ListBullet"/>
      </w:pPr>
      <w:r>
        <w:t>Discovery of unauthorized changes to records or infrastructure</w:t>
      </w:r>
    </w:p>
    <w:p>
      <w:pPr>
        <w:pStyle w:val="ListBullet"/>
      </w:pPr>
      <w:r>
        <w:t>Unexpected pod restarts, container escapes, or privilege escalations</w:t>
      </w:r>
    </w:p>
    <w:p>
      <w:pPr>
        <w:pStyle w:val="Heading2"/>
      </w:pPr>
      <w:r>
        <w:t>4.2 Containment</w:t>
      </w:r>
    </w:p>
    <w:p>
      <w:r>
        <w:t>The incident lead must take immediate steps to limit the scope and impact of the incident:</w:t>
      </w:r>
    </w:p>
    <w:p>
      <w:pPr>
        <w:pStyle w:val="ListNumber"/>
      </w:pPr>
      <w:r>
        <w:t>Isolate — Revoke compromised credentials, restrict network access, or take affected components offline</w:t>
      </w:r>
    </w:p>
    <w:p>
      <w:pPr>
        <w:pStyle w:val="ListNumber"/>
      </w:pPr>
      <w:r>
        <w:t>Preserve — Capture logs, database snapshots, and pod state before any remediation. Do not destroy evidence</w:t>
      </w:r>
    </w:p>
    <w:p>
      <w:pPr>
        <w:pStyle w:val="ListNumber"/>
      </w:pPr>
      <w:r>
        <w:t>Assess scope — Determine which records, systems, and time periods are affected</w:t>
      </w:r>
    </w:p>
    <w:p>
      <w:pPr>
        <w:pStyle w:val="ListNumber"/>
      </w:pPr>
      <w:r>
        <w:t>Communicate — Notify the team that an incident is active and assign roles</w:t>
      </w:r>
    </w:p>
    <w:p>
      <w:r>
        <w:t>For Severity 1–2 incidents:</w:t>
      </w:r>
    </w:p>
    <w:p>
      <w:pPr>
        <w:pStyle w:val="ListBullet"/>
      </w:pPr>
      <w:r>
        <w:t>Rotate all potentially compromised credentials immediately</w:t>
      </w:r>
    </w:p>
    <w:p>
      <w:pPr>
        <w:pStyle w:val="ListBullet"/>
      </w:pPr>
      <w:r>
        <w:t>Take a manual RDS snapshot before any remediation</w:t>
      </w:r>
    </w:p>
    <w:p>
      <w:pPr>
        <w:pStyle w:val="ListBullet"/>
      </w:pPr>
      <w:r>
        <w:t>Restrict RDS security groups to block all non-essential access</w:t>
      </w:r>
    </w:p>
    <w:p>
      <w:pPr>
        <w:pStyle w:val="Heading2"/>
      </w:pPr>
      <w:r>
        <w:t>4.3 Investigation</w:t>
      </w:r>
    </w:p>
    <w:p>
      <w:r>
        <w:t>The incident lead must document:</w:t>
      </w:r>
    </w:p>
    <w:p>
      <w:pPr>
        <w:pStyle w:val="ListNumber"/>
      </w:pPr>
      <w:r>
        <w:t>Timeline — When the incident started, when it was detected, and all response actions taken</w:t>
      </w:r>
    </w:p>
    <w:p>
      <w:pPr>
        <w:pStyle w:val="ListNumber"/>
      </w:pPr>
      <w:r>
        <w:t>Root cause — How the incident occurred, what control failed or was absent</w:t>
      </w:r>
    </w:p>
    <w:p>
      <w:pPr>
        <w:pStyle w:val="ListNumber"/>
      </w:pPr>
      <w:r>
        <w:t>Impact assessment — Which records were accessed, modified, or lost; which devices, organizations, or certificates are affected</w:t>
      </w:r>
    </w:p>
    <w:p>
      <w:pPr>
        <w:pStyle w:val="ListNumber"/>
      </w:pPr>
      <w:r>
        <w:t>Evidence — Logs, screenshots, DB snapshots, and any forensic artifacts</w:t>
      </w:r>
    </w:p>
    <w:p>
      <w:r>
        <w:t>Investigation records must be retained for a minimum of five years, consistent with §3.2.8.</w:t>
      </w:r>
    </w:p>
    <w:p>
      <w:pPr>
        <w:pStyle w:val="Heading2"/>
      </w:pPr>
      <w:r>
        <w:t>4.4 Notification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Notify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Timeframe</w:t>
            </w:r>
          </w:p>
        </w:tc>
      </w:tr>
      <w:tr>
        <w:tc>
          <w:tcPr>
            <w:tcW w:type="dxa" w:w="2880"/>
          </w:tcPr>
          <w:p>
            <w:r>
              <w:t>1–2</w:t>
            </w:r>
          </w:p>
        </w:tc>
        <w:tc>
          <w:tcPr>
            <w:tcW w:type="dxa" w:w="2880"/>
          </w:tcPr>
          <w:p>
            <w:r>
              <w:t>Applicable Issuer (Evident)</w:t>
            </w:r>
          </w:p>
        </w:tc>
        <w:tc>
          <w:tcPr>
            <w:tcW w:type="dxa" w:w="2880"/>
          </w:tcPr>
          <w:p>
            <w:r>
              <w:t>Within 24 hours of confirmation</w:t>
            </w:r>
          </w:p>
        </w:tc>
      </w:tr>
      <w:tr>
        <w:tc>
          <w:tcPr>
            <w:tcW w:type="dxa" w:w="2880"/>
          </w:tcPr>
          <w:p>
            <w:r>
              <w:t>1–2</w:t>
            </w:r>
          </w:p>
        </w:tc>
        <w:tc>
          <w:tcPr>
            <w:tcW w:type="dxa" w:w="2880"/>
          </w:tcPr>
          <w:p>
            <w:r>
              <w:t>Affected data subjects (if personal data involved, per GDPR Art. 34); Supervisory authority (if required under GDPR Art. 33)</w:t>
            </w:r>
          </w:p>
        </w:tc>
        <w:tc>
          <w:tcPr>
            <w:tcW w:type="dxa" w:w="2880"/>
          </w:tcPr>
          <w:p>
            <w:r>
              <w:t>Within 72 hours</w:t>
            </w:r>
          </w:p>
        </w:tc>
      </w:tr>
      <w:tr>
        <w:tc>
          <w:tcPr>
            <w:tcW w:type="dxa" w:w="2880"/>
          </w:tcPr>
          <w:p>
            <w:r>
              <w:t>3–4</w:t>
            </w:r>
          </w:p>
        </w:tc>
        <w:tc>
          <w:tcPr>
            <w:tcW w:type="dxa" w:w="2880"/>
          </w:tcPr>
          <w:p>
            <w:r>
              <w:t>Applicable Issuer</w:t>
            </w:r>
          </w:p>
        </w:tc>
        <w:tc>
          <w:tcPr>
            <w:tcW w:type="dxa" w:w="2880"/>
          </w:tcPr>
          <w:p>
            <w:r>
              <w:t>In next scheduled report or on request</w:t>
            </w:r>
          </w:p>
        </w:tc>
      </w:tr>
    </w:tbl>
    <w:p/>
    <w:p>
      <w:r>
        <w:t>Notification to the Issuer must include:</w:t>
      </w:r>
    </w:p>
    <w:p>
      <w:pPr>
        <w:pStyle w:val="ListBullet"/>
      </w:pPr>
      <w:r>
        <w:t>Nature of the incident</w:t>
      </w:r>
    </w:p>
    <w:p>
      <w:pPr>
        <w:pStyle w:val="ListBullet"/>
      </w:pPr>
      <w:r>
        <w:t>Categories and approximate number of records affected</w:t>
      </w:r>
    </w:p>
    <w:p>
      <w:pPr>
        <w:pStyle w:val="ListBullet"/>
      </w:pPr>
      <w:r>
        <w:t>Likely consequences</w:t>
      </w:r>
    </w:p>
    <w:p>
      <w:pPr>
        <w:pStyle w:val="ListBullet"/>
      </w:pPr>
      <w:r>
        <w:t>Measures taken or proposed to address the incident</w:t>
      </w:r>
    </w:p>
    <w:p>
      <w:pPr>
        <w:pStyle w:val="Heading2"/>
      </w:pPr>
      <w:r>
        <w:t>4.5 Remediation</w:t>
      </w:r>
    </w:p>
    <w:p>
      <w:pPr>
        <w:pStyle w:val="ListNumber"/>
      </w:pPr>
      <w:r>
        <w:t>Fix the root cause</w:t>
      </w:r>
    </w:p>
    <w:p>
      <w:pPr>
        <w:pStyle w:val="ListNumber"/>
      </w:pPr>
      <w:r>
        <w:t>Verify the fix is effective</w:t>
      </w:r>
    </w:p>
    <w:p>
      <w:pPr>
        <w:pStyle w:val="ListNumber"/>
      </w:pPr>
      <w:r>
        <w:t>Restore any affected data from backups where necessary, following the controlled exception process (Methodology §2) for any corrections to verified records</w:t>
      </w:r>
    </w:p>
    <w:p>
      <w:pPr>
        <w:pStyle w:val="ListNumber"/>
      </w:pPr>
      <w:r>
        <w:t>Update monitoring or controls to detect recurrence</w:t>
      </w:r>
    </w:p>
    <w:p>
      <w:pPr>
        <w:pStyle w:val="Heading2"/>
      </w:pPr>
      <w:r>
        <w:t>4.6 Post-Incident Review</w:t>
      </w:r>
    </w:p>
    <w:p>
      <w:r>
        <w:t>Within 14 days of incident closure, the incident lead must produce a post-incident report covering:</w:t>
      </w:r>
    </w:p>
    <w:p>
      <w:pPr>
        <w:pStyle w:val="ListBullet"/>
      </w:pPr>
      <w:r>
        <w:t>Full timeline</w:t>
      </w:r>
    </w:p>
    <w:p>
      <w:pPr>
        <w:pStyle w:val="ListBullet"/>
      </w:pPr>
      <w:r>
        <w:t>Root cause analysis</w:t>
      </w:r>
    </w:p>
    <w:p>
      <w:pPr>
        <w:pStyle w:val="ListBullet"/>
      </w:pPr>
      <w:r>
        <w:t>Effectiveness of the response</w:t>
      </w:r>
    </w:p>
    <w:p>
      <w:pPr>
        <w:pStyle w:val="ListBullet"/>
      </w:pPr>
      <w:r>
        <w:t>Recommendations for preventing recurrence</w:t>
      </w:r>
    </w:p>
    <w:p>
      <w:pPr>
        <w:pStyle w:val="ListBullet"/>
      </w:pPr>
      <w:r>
        <w:t>Any changes to this procedure</w:t>
      </w:r>
    </w:p>
    <w:p>
      <w:r>
        <w:t>Severity 1–2 post-incident reports are shared with the applicable Issuer.</w:t>
      </w:r>
    </w:p>
    <w:p>
      <w:pPr>
        <w:pStyle w:val="Heading1"/>
      </w:pPr>
      <w:r>
        <w:t>5.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Incident lead</w:t>
            </w:r>
          </w:p>
        </w:tc>
        <w:tc>
          <w:tcPr>
            <w:tcW w:type="dxa" w:w="4320"/>
          </w:tcPr>
          <w:p>
            <w:r>
              <w:t>Coordinates response, owns communication, produces post-incident report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Executes containment and remediation actions on AWS / K8s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Investigates application-layer impact, reviews logs, assesses data integrity</w:t>
            </w:r>
          </w:p>
        </w:tc>
      </w:tr>
    </w:tbl>
    <w:p>
      <w:pPr>
        <w:pStyle w:val="Heading1"/>
      </w:pPr>
      <w:r>
        <w:t>6. Record Keeping</w:t>
      </w:r>
    </w:p>
    <w:p>
      <w:r>
        <w:t>An incident register must be maintained recording all incidents (including near-misses) with:</w:t>
      </w:r>
    </w:p>
    <w:p>
      <w:pPr>
        <w:pStyle w:val="ListBullet"/>
      </w:pPr>
      <w:r>
        <w:t>Date and time of detection</w:t>
      </w:r>
    </w:p>
    <w:p>
      <w:pPr>
        <w:pStyle w:val="ListBullet"/>
      </w:pPr>
      <w:r>
        <w:t>Severity classification</w:t>
      </w:r>
    </w:p>
    <w:p>
      <w:pPr>
        <w:pStyle w:val="ListBullet"/>
      </w:pPr>
      <w:r>
        <w:t>Brief description</w:t>
      </w:r>
    </w:p>
    <w:p>
      <w:pPr>
        <w:pStyle w:val="ListBullet"/>
      </w:pPr>
      <w:r>
        <w:t>Resolution status</w:t>
      </w:r>
    </w:p>
    <w:p>
      <w:pPr>
        <w:pStyle w:val="ListBullet"/>
      </w:pPr>
      <w:r>
        <w:t>Reference to post-incident report (Severity 1–2)</w:t>
      </w:r>
    </w:p>
    <w:p>
      <w:pPr>
        <w:pStyle w:val="Heading1"/>
      </w:pPr>
      <w:r>
        <w:t>7. Testing</w:t>
      </w:r>
    </w:p>
    <w:p>
      <w:r>
        <w:t>This procedure must be tested at least annually through a tabletop exercise simulating a Severity 1 or 2 incident. Results of the exercise and any procedure updates are recorded.</w:t>
      </w:r>
    </w:p>
    <w:p>
      <w:pPr>
        <w:pStyle w:val="Heading1"/>
      </w:pPr>
      <w:r>
        <w:t>8. 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April 2, 2026</w:t>
            </w:r>
          </w:p>
        </w:tc>
        <w:tc>
          <w:tcPr>
            <w:tcW w:type="dxa" w:w="2880"/>
          </w:tcPr>
          <w:p>
            <w:r>
              <w:t>Initial version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