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D-REC Methodology Spec vs. Feature Set</w:t>
      </w:r>
    </w:p>
    <w:p>
      <w:pPr>
        <w:pStyle w:val="Normal"/>
        <w:rPr/>
      </w:pPr>
      <w:r>
        <w:rPr/>
        <w:t>Comparison of the "D-REC Methodology Overview for I-REC(E)" specification against the current platform implementation (API + UI). April 2026.</w:t>
      </w:r>
    </w:p>
    <w:p>
      <w:pPr>
        <w:pStyle w:val="Heading2"/>
        <w:rPr/>
      </w:pPr>
      <w:r>
        <w:rPr/>
        <w:t>1. Well-Covered Areas</w:t>
      </w:r>
    </w:p>
    <w:p>
      <w:pPr>
        <w:pStyle w:val="Normal"/>
        <w:rPr/>
      </w:pPr>
      <w:r>
        <w:rPr/>
        <w:t>The following spec requirements are substantially implemented in the current codebase.</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w:t>
            </w:r>
          </w:p>
        </w:tc>
        <w:tc>
          <w:tcPr>
            <w:tcW w:w="2880"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Spec Requirement</w:t>
            </w:r>
          </w:p>
        </w:tc>
        <w:tc>
          <w:tcPr>
            <w:tcW w:w="2880"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Implementation</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Device metadata (capacity, location, commissioning date, technology, inverter serial)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 captured in Device entity and add-device form. Validated with class-validator (capacity &gt; 0.001, lat/lon ranges, commissioning date not in future).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SLD, photos, COD proof, metering evidence, ownership docs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 supported as DocumentType enum values (SINGLE_LINE_DIAGRAM, PROJECT_PHOTOS, COD_PROOF, METERING_EVIDENCE, SF_02C, FORM_SF_02). Upload, preview, and per-document review tracking.</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Individual + grouped registration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Both supported. Individual device onboarding with full form + docs. Device groups with CSV bulk upload, aggregated capacity, and reservation system.</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Grid-connected vs off-grid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gridInterconnection boolean field on Device entity, exposed in add/edit forms as radio button.</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Review workflow (submit → review → approve/reject)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Submission entity with Draft/Pending/Approved/Rejected statuses. Per-document reviewedFlag. Reviewer assignment. Unreviewed-docs warning before approval.</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Evident registry integration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Device and group IDs synced to Evident via API. evidentDeviceId, evidentStatus tracked. Registration data pushed after approval.</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1.7</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Document validation at review</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Reviewers toggle reviewedFlag per document. Broken-link (404) detection. Modal warning if approving with unreviewed docs.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Device identity checks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Serial number uniqueness per org, project name uniqueness per org, coordinate validation, capacity validation, commissioning date not-in-future, alphanumeric serial pattern.</w:t>
            </w:r>
          </w:p>
        </w:tc>
      </w:tr>
    </w:tbl>
    <w:p>
      <w:pPr>
        <w:pStyle w:val="Heading2"/>
        <w:rPr/>
      </w:pPr>
      <w:r>
        <w:rPr/>
        <w:t>2. Gaps and Partial Coverage</w:t>
      </w:r>
    </w:p>
    <w:p>
      <w:pPr>
        <w:pStyle w:val="Normal"/>
        <w:rPr/>
      </w:pPr>
      <w:r>
        <w:rPr/>
        <w:t>The following spec requirements are either missing or only partially addressed.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22"/>
        <w:gridCol w:w="3598"/>
        <w:gridCol w:w="2160"/>
        <w:gridCol w:w="2159"/>
      </w:tblGrid>
      <w:tr>
        <w:trPr/>
        <w:tc>
          <w:tcPr>
            <w:tcW w:w="722"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w:t>
            </w:r>
          </w:p>
        </w:tc>
        <w:tc>
          <w:tcPr>
            <w:tcW w:w="3598"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Spec Requirement</w:t>
            </w:r>
          </w:p>
        </w:tc>
        <w:tc>
          <w:tcPr>
            <w:tcW w:w="2160"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Current State</w:t>
            </w:r>
          </w:p>
        </w:tc>
        <w:tc>
          <w:tcPr>
            <w:tcW w:w="2159"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Gap</w:t>
            </w:r>
          </w:p>
        </w:tc>
      </w:tr>
      <w:tr>
        <w:trPr/>
        <w:tc>
          <w:tcPr>
            <w:tcW w:w="722"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2.1</w:t>
            </w:r>
          </w:p>
        </w:tc>
        <w:tc>
          <w:tcPr>
            <w:tcW w:w="359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Operating configuration (5 types: no-export, permitted-export, full-export, off-grid, dual-mode/hybrid)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Binary gridInterconnection boolean only.</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Spec defines 5 distinct configurations that drive evidence requirements. Platform cannot distinguish behind-the-meter-no-export from permitted-export from full-export. No dual-mode/hybrid concept.</w:t>
            </w:r>
          </w:p>
        </w:tc>
      </w:tr>
      <w:tr>
        <w:trPr/>
        <w:tc>
          <w:tcPr>
            <w:tcW w:w="722"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2.2</w:t>
            </w:r>
          </w:p>
        </w:tc>
        <w:tc>
          <w:tcPr>
            <w:tcW w:w="359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Source-access modes (Mode 1: direct API, Mode 2: portal, Mode 3: file submission, Mode 4: compensating controls)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dataSource + dataSourceBrand + meterReadtype fields exist but are free-text / simple enums.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formal classification of how production data is accessed. Spec makes this a first-class concept governing which verification checks apply per device.</w:t>
            </w:r>
          </w:p>
        </w:tc>
      </w:tr>
      <w:tr>
        <w:trPr/>
        <w:tc>
          <w:tcPr>
            <w:tcW w:w="722"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2.3</w:t>
            </w:r>
          </w:p>
        </w:tc>
        <w:tc>
          <w:tcPr>
            <w:tcW w:w="359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Evidence pathway per operating config</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Documents uploaded generically by type.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Spec requires different evidence depending on operating config (e.g. inverter zero-export settings for no-export, utility records for permitted-export). No conditional document requirements in the UI or validation layer.</w:t>
            </w:r>
          </w:p>
        </w:tc>
      </w:tr>
      <w:tr>
        <w:trPr/>
        <w:tc>
          <w:tcPr>
            <w:tcW w:w="722"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2.4</w:t>
            </w:r>
          </w:p>
        </w:tc>
        <w:tc>
          <w:tcPr>
            <w:tcW w:w="359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Group registration controls (250 kW cap, compatible pathways)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Groups exist with aggregated capacity. No cap enforcement.</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Spec requires groups stay under 250 kW and all devices share compatible evidence pathways and source-access modes. No such validation.</w:t>
            </w:r>
          </w:p>
        </w:tc>
      </w:tr>
      <w:tr>
        <w:trPr/>
        <w:tc>
          <w:tcPr>
            <w:tcW w:w="722"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2.5</w:t>
            </w:r>
          </w:p>
        </w:tc>
        <w:tc>
          <w:tcPr>
            <w:tcW w:w="359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Multi-step onboarding (Table 2: 5-step with device-level then group-level review)</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Single submission → review → approve flow.</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explicit separation of device-level review gate before group-level review. No distinct group-level compliance check step.</w:t>
            </w:r>
          </w:p>
        </w:tc>
      </w:tr>
      <w:tr>
        <w:trPr/>
        <w:tc>
          <w:tcPr>
            <w:tcW w:w="722"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2.6</w:t>
            </w:r>
          </w:p>
        </w:tc>
        <w:tc>
          <w:tcPr>
            <w:tcW w:w="359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Duplicate / overlap screening against registry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Serial number + project name uniqueness checks.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Spec requires screening against registry data for duplicate registration or overlapping attribute issuance. Current checks are basic field uniqueness only.</w:t>
            </w:r>
          </w:p>
        </w:tc>
      </w:tr>
      <w:tr>
        <w:trPr/>
        <w:tc>
          <w:tcPr>
            <w:tcW w:w="722"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2.7</w:t>
            </w:r>
          </w:p>
        </w:tc>
        <w:tc>
          <w:tcPr>
            <w:tcW w:w="359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Rights &amp; ownership validation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PPA upload supported, owner’s declaration required.</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structured check of off-taker identity, attribute rights, or prior allocation conflicts. Just document upload + manual review.</w:t>
            </w:r>
          </w:p>
        </w:tc>
      </w:tr>
    </w:tbl>
    <w:p>
      <w:pPr>
        <w:pStyle w:val="Heading2"/>
        <w:rPr/>
      </w:pPr>
      <w:r>
        <w:rPr/>
        <w:t>3. Not Implemented</w:t>
      </w:r>
    </w:p>
    <w:p>
      <w:pPr>
        <w:pStyle w:val="Normal"/>
        <w:rPr/>
      </w:pPr>
      <w:r>
        <w:rPr/>
        <w:t>The following spec requirements have no corresponding feature in the current platform.</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w:t>
            </w:r>
          </w:p>
        </w:tc>
        <w:tc>
          <w:tcPr>
            <w:tcW w:w="2880"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Missing Feature</w:t>
            </w:r>
          </w:p>
        </w:tc>
        <w:tc>
          <w:tcPr>
            <w:tcW w:w="2880" w:type="dxa"/>
            <w:tcBorders/>
            <w:shd w:color="auto" w:fill="334155"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Detail</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Formal evidence-pathway classification per device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Spec records an evidence-pathway classification at onboarding that determines validation checks. No such field or concept exists in the Device entity.</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Conditional document requirements based on operating config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The UI always shows the same set of document upload slots regardless of grid configuration. Spec requires different evidence sets per operating config.</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Source-access mode as a tracked field with mode-specific verification rules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Mode 1/2/3/4 classification. No mode-dependent verification logic.</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250 kW group capacity cap enforcement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DeviceGroup has aggregatedCapacity but no validation prevents exceeding 250 kW.</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Evidence-pathway compatibility check for grouped devices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Devices are added to groups without checking that they share compatible evidence pathways or source-access modes.</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3.6</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Irradiance-based production ceiling checks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solar irradiance data integration for plausibility-checking claimed generation volumes.</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3.7</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Historical consistency review for production data</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automated comparison of current production data against historical patterns for anomaly detection.</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Independent Data Audit Layer (IDAL)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Spec describes a second-copy comparison using an accepted external source. Not implemented.</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3.9</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Compensating controls for Mode 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Capacity plausibility and irradiance ceiling checks are not implemented. Only AI feature is Roboflow panel detection.</w:t>
            </w:r>
          </w:p>
        </w:tc>
      </w:tr>
      <w:tr>
        <w:trPr/>
        <w:tc>
          <w:tcPr>
            <w:tcW w:w="2880" w:type="dxa"/>
            <w:tcBorders/>
          </w:tcPr>
          <w:p>
            <w:pPr>
              <w:pStyle w:val="Normal"/>
              <w:widowControl/>
              <w:spacing w:lineRule="auto" w:line="240" w:before="0" w:after="0"/>
              <w:jc w:val="left"/>
              <w:rPr>
                <w:rFonts w:eastAsia="ＭＳ 明朝" w:cs=""/>
                <w:strike/>
                <w:kern w:val="0"/>
                <w:szCs w:val="22"/>
                <w:lang w:val="en-US" w:eastAsia="en-US" w:bidi="ar-SA"/>
              </w:rPr>
            </w:pPr>
            <w:r>
              <w:rPr>
                <w:rFonts w:eastAsia="ＭＳ 明朝" w:cs=""/>
                <w:strike/>
                <w:kern w:val="0"/>
                <w:sz w:val="18"/>
                <w:szCs w:val="22"/>
                <w:lang w:val="en-US" w:eastAsia="en-US" w:bidi="ar-SA"/>
              </w:rPr>
              <w:t>3.10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Cross-source verification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mechanism to compare production data from two independent sources for the same device and period.</w:t>
            </w:r>
          </w:p>
        </w:tc>
      </w:tr>
    </w:tbl>
    <w:p>
      <w:pPr>
        <w:pStyle w:val="Heading2"/>
        <w:rPr/>
      </w:pPr>
      <w:r>
        <w:rPr/>
        <w:t>4. Summary</w:t>
      </w:r>
    </w:p>
    <w:p>
      <w:pPr>
        <w:pStyle w:val="Normal"/>
        <w:rPr/>
      </w:pPr>
      <w:r>
        <w:rPr>
          <w:b/>
        </w:rPr>
        <w:t>Core device registration and document management</w:t>
      </w:r>
      <w:r>
        <w:rPr/>
        <w:t xml:space="preserve"> are well-implemented. The platform captures the right metadata, supports the right document types, has a working review workflow, and integrates with Evident.</w:t>
      </w:r>
    </w:p>
    <w:p>
      <w:pPr>
        <w:pStyle w:val="Normal"/>
        <w:rPr/>
      </w:pPr>
      <w:r>
        <w:rPr>
          <w:b/>
        </w:rPr>
        <w:t>The primary structural gap</w:t>
      </w:r>
      <w:r>
        <w:rPr/>
        <w:t xml:space="preserve"> is that the spec treats operating configuration and source-access mode as first-class concepts that drive conditional requirements throughout the system (what evidence is needed, what checks apply, what verification rules govern production data). The platform currently treats these as optional metadata fields rather than control-flow drivers.</w:t>
      </w:r>
    </w:p>
    <w:p>
      <w:pPr>
        <w:pStyle w:val="Normal"/>
        <w:widowControl/>
        <w:bidi w:val="0"/>
        <w:spacing w:lineRule="auto" w:line="276" w:before="0" w:after="200"/>
        <w:jc w:val="left"/>
        <w:rPr/>
      </w:pPr>
      <w:r>
        <w:rPr>
          <w:b/>
        </w:rPr>
        <w:t>Closing the gap</w:t>
      </w:r>
      <w:r>
        <w:rPr/>
        <w:t xml:space="preserve"> would require: (1) an operating-configuration enum replacing the binary gridInterconnection field, (2) a source-access-mode enum recorded per device, (3) conditional document requirements driven by those two fields, (4) group validation rules enforcing the 250 kW cap and pathway compatibility, and (5) production-data verification checks that vary by source-access mode.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1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E293B"/>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E293B"/>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E293B"/>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Application>LibreOffice/7.4.7.2$Linux_X86_64 LibreOffice_project/40$Build-2</Application>
  <AppVersion>15.0000</AppVersion>
  <Pages>3</Pages>
  <Words>874</Words>
  <Characters>5810</Characters>
  <CharactersWithSpaces>6580</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2026-04-02T00:20:22Z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