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12" w:space="4" w:color="1F3B57"/>
        </w:pBdr>
      </w:pPr>
      <w:r>
        <w:rPr>
          <w:b/>
          <w:color w:val="1F3B57"/>
          <w:sz w:val="36"/>
        </w:rPr>
        <w:t>MEMORANDUM</w:t>
      </w:r>
    </w:p>
    <w:tbl>
      <w:tblPr>
        <w:tblW w:type="auto" w:w="0"/>
        <w:tblLayout w:type="fixed"/>
        <w:tblLook w:firstColumn="1" w:firstRow="1" w:lastColumn="0" w:lastRow="0" w:noHBand="0" w:noVBand="1" w:val="04A0"/>
      </w:tblPr>
      <w:tblGrid>
        <w:gridCol w:w="4680"/>
        <w:gridCol w:w="4680"/>
      </w:tblGrid>
      <w:tr>
        <w:tc>
          <w:tcPr>
            <w:tcW w:type="dxa" w:w="1224"/>
          </w:tcPr>
          <w:p>
            <w:pPr>
              <w:spacing w:after="20"/>
            </w:pPr>
            <w:r>
              <w:rPr>
                <w:b/>
                <w:sz w:val="20"/>
              </w:rPr>
              <w:t>TO:</w:t>
            </w:r>
          </w:p>
        </w:tc>
        <w:tc>
          <w:tcPr>
            <w:tcW w:type="dxa" w:w="8136"/>
          </w:tcPr>
          <w:p>
            <w:pPr>
              <w:spacing w:after="20"/>
            </w:pPr>
            <w:r>
              <w:rPr>
                <w:sz w:val="20"/>
              </w:rPr>
              <w:t>Adeline Koh, Chief Executive Officer, Star River Electronics Ltd.</w:t>
            </w:r>
          </w:p>
        </w:tc>
      </w:tr>
      <w:tr>
        <w:tc>
          <w:tcPr>
            <w:tcW w:type="dxa" w:w="1224"/>
          </w:tcPr>
          <w:p>
            <w:pPr>
              <w:spacing w:after="20"/>
            </w:pPr>
            <w:r>
              <w:rPr>
                <w:b/>
                <w:sz w:val="20"/>
              </w:rPr>
              <w:t>FROM:</w:t>
            </w:r>
          </w:p>
        </w:tc>
        <w:tc>
          <w:tcPr>
            <w:tcW w:type="dxa" w:w="8136"/>
          </w:tcPr>
          <w:p>
            <w:pPr>
              <w:spacing w:after="20"/>
            </w:pPr>
            <w:r>
              <w:rPr>
                <w:sz w:val="20"/>
              </w:rPr>
              <w:t>[Team members] — Financial Analysis</w:t>
            </w:r>
          </w:p>
        </w:tc>
      </w:tr>
      <w:tr>
        <w:tc>
          <w:tcPr>
            <w:tcW w:type="dxa" w:w="1224"/>
          </w:tcPr>
          <w:p>
            <w:pPr>
              <w:spacing w:after="20"/>
            </w:pPr>
            <w:r>
              <w:rPr>
                <w:b/>
                <w:sz w:val="20"/>
              </w:rPr>
              <w:t>DATE:</w:t>
            </w:r>
          </w:p>
        </w:tc>
        <w:tc>
          <w:tcPr>
            <w:tcW w:type="dxa" w:w="8136"/>
          </w:tcPr>
          <w:p>
            <w:pPr>
              <w:spacing w:after="20"/>
            </w:pPr>
            <w:r>
              <w:rPr>
                <w:sz w:val="20"/>
              </w:rPr>
              <w:t>July 6, 2001</w:t>
            </w:r>
          </w:p>
        </w:tc>
      </w:tr>
      <w:tr>
        <w:tc>
          <w:tcPr>
            <w:tcW w:type="dxa" w:w="1224"/>
          </w:tcPr>
          <w:p>
            <w:pPr>
              <w:spacing w:after="20"/>
            </w:pPr>
            <w:r>
              <w:rPr>
                <w:b/>
                <w:sz w:val="20"/>
              </w:rPr>
              <w:t>SUBJECT:</w:t>
            </w:r>
          </w:p>
        </w:tc>
        <w:tc>
          <w:tcPr>
            <w:tcW w:type="dxa" w:w="8136"/>
          </w:tcPr>
          <w:p>
            <w:pPr>
              <w:spacing w:after="20"/>
            </w:pPr>
            <w:r>
              <w:rPr>
                <w:sz w:val="20"/>
              </w:rPr>
              <w:t>Financial condition and the packaging-machine decision</w:t>
            </w:r>
          </w:p>
        </w:tc>
      </w:tr>
    </w:tbl>
    <w:p>
      <w:pPr>
        <w:spacing w:after="200"/>
        <w:pBdr>
          <w:bottom w:val="single" w:sz="6" w:space="4" w:color="AFBCCB"/>
        </w:pBdr>
      </w:pPr>
    </w:p>
    <w:p>
      <w:pPr>
        <w:keepNext/>
        <w:spacing w:before="40" w:after="80"/>
      </w:pPr>
      <w:r>
        <w:rPr>
          <w:b/>
          <w:color w:val="1F3B57"/>
          <w:sz w:val="25"/>
        </w:rPr>
        <w:t>RECOMMENDATION</w:t>
      </w:r>
    </w:p>
    <w:p>
      <w:pPr>
        <w:spacing w:after="160"/>
      </w:pPr>
      <w:r>
        <w:rPr>
          <w:i w:val="0"/>
        </w:rPr>
        <w:t xml:space="preserve">Do not buy the packaging machine now. Wait and replace the current equipment in 2004, when growth forces the purchase anyway. At an 11% cost of capital, waiting costs </w:t>
      </w:r>
      <w:r>
        <w:rPr>
          <w:b/>
        </w:rPr>
        <w:t>SGD173,265 less in present value</w:t>
      </w:r>
      <w:r>
        <w:t xml:space="preserve"> — </w:t>
      </w:r>
      <w:r>
        <w:rPr>
          <w:b/>
        </w:rPr>
        <w:t>SGD25,669 per year</w:t>
      </w:r>
      <w:r>
        <w:t xml:space="preserve"> on an equivalent annual basis. Esmond Lim's recommendation to buy now is not supported by the numbers in his own memo: the savings he quantifies are real, but they are small and they run out after three years, while the cost of buying three years early is the time value of SGD1.82 million.</w:t>
      </w:r>
    </w:p>
    <w:p>
      <w:pPr>
        <w:spacing w:after="160"/>
      </w:pPr>
      <w:r>
        <w:rPr>
          <w:i w:val="0"/>
        </w:rPr>
        <w:t>We would add one thing you did not ask for. The packaging machine is the smallest financial problem in front of you. Star River's operations consumed cash in each of the last two years, and the entire gap was filled with short-term bank borrowing. That is what Mr. Tan means by “growing beyond its financial capabilities,” and it should shape how you open tomorrow's conversation with him.</w:t>
      </w:r>
    </w:p>
    <w:p>
      <w:pPr>
        <w:keepNext/>
        <w:spacing w:before="280" w:after="80"/>
      </w:pPr>
      <w:r>
        <w:rPr>
          <w:b/>
          <w:color w:val="1F3B57"/>
          <w:sz w:val="25"/>
        </w:rPr>
        <w:t>1.  Financial condition: growing, profitable on paper, and out of cash</w:t>
      </w:r>
    </w:p>
    <w:p>
      <w:pPr>
        <w:spacing w:after="80"/>
      </w:pPr>
      <w:r>
        <w:rPr>
          <w:b/>
        </w:rPr>
        <w:t>Strengths to put in front of the bank.</w:t>
      </w:r>
    </w:p>
    <w:p>
      <w:pPr>
        <w:pStyle w:val="ListBullet"/>
        <w:spacing w:after="100"/>
        <w:ind w:left="432"/>
      </w:pPr>
      <w:r>
        <w:rPr>
          <w:sz w:val="21"/>
        </w:rPr>
        <w:t>Sales have compounded at roughly 14% a year, from SGD71.9 million in 1998 to SGD106.0 million in 2001. Star River survived a shakeout that killed less efficient producers, and did it on reputation.</w:t>
      </w:r>
    </w:p>
    <w:p>
      <w:pPr>
        <w:pStyle w:val="ListBullet"/>
        <w:spacing w:after="100"/>
        <w:ind w:left="432"/>
      </w:pPr>
      <w:r>
        <w:rPr>
          <w:sz w:val="21"/>
        </w:rPr>
        <w:t>The company is profitable at every line. Operating margin was 16.1% in 2001 and net earnings of SGD7.1 million were up 46% on 2000. Reported return on equity recovered from 11.7% to 15.2%.</w:t>
      </w:r>
    </w:p>
    <w:p>
      <w:pPr>
        <w:pStyle w:val="ListBullet"/>
        <w:spacing w:after="100"/>
        <w:ind w:left="432"/>
      </w:pPr>
      <w:r>
        <w:rPr>
          <w:sz w:val="21"/>
        </w:rPr>
        <w:t>Interest has been covered in every year, and the 2001 recovery in margin shows the 2000 deterioration was not a permanent loss of pricing power.</w:t>
      </w:r>
    </w:p>
    <w:p>
      <w:pPr>
        <w:spacing w:after="80"/>
      </w:pPr>
      <w:r>
        <w:rPr>
          <w:b/>
        </w:rPr>
        <w:t>Weaknesses, in the order we would fix them.</w:t>
      </w:r>
    </w:p>
    <w:p>
      <w:pPr>
        <w:pStyle w:val="ListBullet"/>
        <w:spacing w:after="100"/>
        <w:ind w:left="432"/>
      </w:pPr>
      <w:r>
        <w:rPr>
          <w:b/>
          <w:sz w:val="21"/>
        </w:rPr>
        <w:t xml:space="preserve">Cash, not profit, is the problem. </w:t>
      </w:r>
      <w:r>
        <w:rPr>
          <w:sz w:val="21"/>
        </w:rPr>
        <w:t>Net earnings plus depreciation came to SGD18.5 million in 2001, but working capital absorbed SGD19.6 million, leaving operating cash flow of negative SGD1.1 million — after negative SGD15.8 million in 2000. After capital spending, free cash flow was negative SGD18.4 million in 2001 and negative SGD33.5 million in 2000.</w:t>
      </w:r>
    </w:p>
    <w:p>
      <w:pPr>
        <w:pStyle w:val="ListBullet"/>
        <w:spacing w:after="100"/>
        <w:ind w:left="432"/>
      </w:pPr>
      <w:r>
        <w:rPr>
          <w:b/>
          <w:sz w:val="21"/>
        </w:rPr>
        <w:t xml:space="preserve">Inventory is the cause. </w:t>
      </w:r>
      <w:r>
        <w:rPr>
          <w:sz w:val="21"/>
        </w:rPr>
        <w:t>Inventories grew from SGD23.3 million to SGD63.8 million — 2.7 times — while sales grew 1.5 times. Days of inventory went from 252 to 436, and the cash conversion cycle from 231 days to 466. Returning inventory to its 1998 turns would release roughly SGD27 million: fifteen times the cost of the packaging machine. Receivables slipped too, from 112 days to 122.</w:t>
      </w:r>
    </w:p>
    <w:p>
      <w:pPr>
        <w:pStyle w:val="ListBullet"/>
        <w:spacing w:after="100"/>
        <w:ind w:left="432"/>
      </w:pPr>
      <w:r>
        <w:rPr>
          <w:b/>
          <w:sz w:val="21"/>
        </w:rPr>
        <w:t xml:space="preserve">The gap was financed by the bank. </w:t>
      </w:r>
      <w:r>
        <w:rPr>
          <w:sz w:val="21"/>
        </w:rPr>
        <w:t>Short-term borrowings went from SGD29.0 million to SGD85.0 million, 2.9 times, in three years. Debt to equity rose from 1.13 to 2.20, debt to EBITDA from 1.8 to 3.6, and interest coverage slipped from 2.45 to 2.18. The quick ratio is 0.34 — SGD41.3 million of cash and receivables against SGD119.7 million of current liabilities.</w:t>
      </w:r>
    </w:p>
    <w:p>
      <w:pPr>
        <w:pStyle w:val="ListBullet"/>
        <w:spacing w:after="100"/>
        <w:ind w:left="432"/>
      </w:pPr>
      <w:r>
        <w:rPr>
          <w:b/>
          <w:sz w:val="21"/>
        </w:rPr>
        <w:t xml:space="preserve">The improvement in ROE is leverage, not performance. </w:t>
      </w:r>
      <w:r>
        <w:rPr>
          <w:sz w:val="21"/>
        </w:rPr>
        <w:t>Decomposed, 1998 return on equity was a 7.96% margin on 0.65 asset turns at 3.21 times leverage. In 2001 it was a 6.74% margin on 0.57 turns at 3.93 times leverage. Both operating terms deteriorated; only leverage rose. The recovery was borrowed, not earned.</w:t>
      </w:r>
    </w:p>
    <w:p>
      <w:pPr>
        <w:pStyle w:val="ListBullet"/>
        <w:spacing w:after="100"/>
        <w:ind w:left="432"/>
      </w:pPr>
      <w:r>
        <w:rPr>
          <w:b/>
          <w:sz w:val="21"/>
        </w:rPr>
        <w:t xml:space="preserve">Dividends are being funded with debt. </w:t>
      </w:r>
      <w:r>
        <w:rPr>
          <w:sz w:val="21"/>
        </w:rPr>
        <w:t>SGD2 million has gone out in dividends in each of the last four years while free cash flow was negative and debt rose SGD20 million. Star River is borrowing to pay its owners. We would suspend the dividend before asking New Era and Starlight for fresh equity.</w:t>
      </w:r>
    </w:p>
    <w:p>
      <w:pPr>
        <w:spacing w:after="160"/>
      </w:pPr>
      <w:r>
        <w:rPr>
          <w:i w:val="0"/>
        </w:rPr>
        <w:t>All of this sits in front of SGD54.6 million of DVD manufacturing capital expenditure still to be funded. The balance sheet has no room in it, and that is the lens through which we assessed the packaging machine.</w:t>
      </w:r>
    </w:p>
    <w:p>
      <w:r>
        <w:br w:type="page"/>
      </w:r>
    </w:p>
    <w:p>
      <w:pPr>
        <w:keepNext/>
        <w:spacing w:before="40" w:after="80"/>
      </w:pPr>
      <w:r>
        <w:rPr>
          <w:b/>
          <w:color w:val="1F3B57"/>
          <w:sz w:val="25"/>
        </w:rPr>
        <w:t>2.  Cost of capital</w:t>
      </w:r>
    </w:p>
    <w:p>
      <w:pPr>
        <w:spacing w:after="160"/>
      </w:pPr>
      <w:r>
        <w:rPr>
          <w:i w:val="0"/>
        </w:rPr>
        <w:t>We have used an 11% weighted-average cost of capital throughout, as directed. It is a defensible figure for Star River: well above the 6.70% pre-tax rate on the company's bank line (prime of 5.2% plus 1.5%), and consistent with the equity betas of the Exhibit 5 comparables against a 3.6% risk-free rate and a 6% market risk premium. The recommendation below is not sensitive to this assumption within any plausible range — it holds for any discount rate above 6.61%.</w:t>
      </w:r>
    </w:p>
    <w:p>
      <w:pPr>
        <w:keepNext/>
        <w:spacing w:before="280" w:after="80"/>
      </w:pPr>
      <w:r>
        <w:rPr>
          <w:b/>
          <w:color w:val="1F3B57"/>
          <w:sz w:val="25"/>
        </w:rPr>
        <w:t>3.  The packaging machine: free cash flows and the decision</w:t>
      </w:r>
    </w:p>
    <w:p>
      <w:pPr>
        <w:spacing w:after="120"/>
      </w:pPr>
      <w:r>
        <w:rPr>
          <w:b/>
        </w:rPr>
        <w:t xml:space="preserve">How we framed it. </w:t>
      </w:r>
      <w:r>
        <w:t>This is not an “is the NPV positive” question. Both paths end with the same machine running indefinitely — Exhibit 4 states it is “the last packaging equipment we will ever have to purchase” — and the current equipment cannot serve past 2004 either way. Output, revenue and capacity are identical under both alternatives, so there is no revenue line in the analysis. What differs is only the cost of two purchase dates. We built both alternatives on one 13-year timeline, 2001 to 2014. From 2015 onward the two cash-flow streams are identical to the cent, so the answer does not depend on where the model stops.</w:t>
      </w:r>
    </w:p>
    <w:p>
      <w:pPr>
        <w:spacing w:after="120"/>
      </w:pPr>
      <w:r>
        <w:rPr>
          <w:b/>
        </w:rPr>
        <w:t>What is in the cash flows.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672"/>
            <w:shd w:val="clear" w:color="auto" w:fill="1F3B57"/>
          </w:tcPr>
          <w:p>
            <w:pPr>
              <w:spacing w:after="40" w:before="40"/>
            </w:pPr>
            <w:r>
              <w:rPr>
                <w:b/>
                <w:color w:val="FFFFFF"/>
                <w:sz w:val="18"/>
              </w:rPr>
              <w:t>Cash-flow item</w:t>
            </w:r>
          </w:p>
        </w:tc>
        <w:tc>
          <w:tcPr>
            <w:tcW w:type="dxa" w:w="2736"/>
            <w:shd w:val="clear" w:color="auto" w:fill="1F3B57"/>
          </w:tcPr>
          <w:p>
            <w:pPr>
              <w:spacing w:after="40" w:before="40"/>
              <w:jc w:val="right"/>
            </w:pPr>
            <w:r>
              <w:rPr>
                <w:b/>
                <w:color w:val="FFFFFF"/>
                <w:sz w:val="18"/>
              </w:rPr>
              <w:t>Buy now (2001)</w:t>
            </w:r>
          </w:p>
        </w:tc>
        <w:tc>
          <w:tcPr>
            <w:tcW w:type="dxa" w:w="2952"/>
            <w:shd w:val="clear" w:color="auto" w:fill="1F3B57"/>
          </w:tcPr>
          <w:p>
            <w:pPr>
              <w:spacing w:after="40" w:before="40"/>
              <w:jc w:val="right"/>
            </w:pPr>
            <w:r>
              <w:rPr>
                <w:b/>
                <w:color w:val="FFFFFF"/>
                <w:sz w:val="18"/>
              </w:rPr>
              <w:t>Wait — buy in 2004</w:t>
            </w:r>
          </w:p>
        </w:tc>
      </w:tr>
      <w:tr>
        <w:tc>
          <w:tcPr>
            <w:tcW w:type="dxa" w:w="3672"/>
          </w:tcPr>
          <w:p>
            <w:pPr>
              <w:spacing w:after="40" w:before="40"/>
            </w:pPr>
            <w:r>
              <w:rPr>
                <w:sz w:val="18"/>
              </w:rPr>
              <w:t>Purchase price, escalating 5% p.a.</w:t>
            </w:r>
          </w:p>
        </w:tc>
        <w:tc>
          <w:tcPr>
            <w:tcW w:type="dxa" w:w="2736"/>
          </w:tcPr>
          <w:p>
            <w:pPr>
              <w:spacing w:after="40" w:before="40"/>
              <w:jc w:val="right"/>
            </w:pPr>
            <w:r>
              <w:rPr>
                <w:sz w:val="18"/>
              </w:rPr>
              <w:t>(1,820,000) in 2001</w:t>
            </w:r>
          </w:p>
        </w:tc>
        <w:tc>
          <w:tcPr>
            <w:tcW w:type="dxa" w:w="2952"/>
          </w:tcPr>
          <w:p>
            <w:pPr>
              <w:spacing w:after="40" w:before="40"/>
              <w:jc w:val="right"/>
            </w:pPr>
            <w:r>
              <w:rPr>
                <w:sz w:val="18"/>
              </w:rPr>
              <w:t>(2,106,878) in 2004</w:t>
            </w:r>
          </w:p>
        </w:tc>
      </w:tr>
      <w:tr>
        <w:tc>
          <w:tcPr>
            <w:tcW w:type="dxa" w:w="3672"/>
          </w:tcPr>
          <w:p>
            <w:pPr>
              <w:spacing w:after="40" w:before="40"/>
            </w:pPr>
            <w:r>
              <w:rPr>
                <w:sz w:val="18"/>
              </w:rPr>
            </w:r>
          </w:p>
        </w:tc>
        <w:tc>
          <w:tcPr>
            <w:tcW w:type="dxa" w:w="2736"/>
          </w:tcPr>
          <w:p>
            <w:pPr>
              <w:spacing w:after="40" w:before="40"/>
              <w:jc w:val="right"/>
            </w:pPr>
            <w:r>
              <w:rPr>
                <w:sz w:val="18"/>
              </w:rPr>
            </w:r>
          </w:p>
        </w:tc>
        <w:tc>
          <w:tcPr>
            <w:tcW w:type="dxa" w:w="2952"/>
          </w:tcPr>
          <w:p>
            <w:pPr>
              <w:spacing w:after="40" w:before="40"/>
              <w:jc w:val="right"/>
            </w:pPr>
            <w:r>
              <w:rPr>
                <w:sz w:val="18"/>
              </w:rPr>
              <w:t>SGD286,878 more, as Exhibit 4 states</w:t>
            </w:r>
          </w:p>
        </w:tc>
      </w:tr>
      <w:tr>
        <w:tc>
          <w:tcPr>
            <w:tcW w:type="dxa" w:w="3672"/>
          </w:tcPr>
          <w:p>
            <w:pPr>
              <w:spacing w:after="40" w:before="40"/>
            </w:pPr>
            <w:r>
              <w:rPr>
                <w:sz w:val="18"/>
              </w:rPr>
              <w:t>Write-off of old machine</w:t>
            </w:r>
          </w:p>
        </w:tc>
        <w:tc>
          <w:tcPr>
            <w:tcW w:type="dxa" w:w="2736"/>
          </w:tcPr>
          <w:p>
            <w:pPr>
              <w:spacing w:after="40" w:before="40"/>
              <w:jc w:val="right"/>
            </w:pPr>
            <w:r>
              <w:rPr>
                <w:sz w:val="18"/>
              </w:rPr>
              <w:t>+53,508 tax shield, 2001</w:t>
            </w:r>
          </w:p>
        </w:tc>
        <w:tc>
          <w:tcPr>
            <w:tcW w:type="dxa" w:w="2952"/>
          </w:tcPr>
          <w:p>
            <w:pPr>
              <w:spacing w:after="40" w:before="40"/>
              <w:jc w:val="right"/>
            </w:pPr>
            <w:r>
              <w:rPr>
                <w:sz w:val="18"/>
              </w:rPr>
              <w:t>none — depreciated 2002–04</w:t>
            </w:r>
          </w:p>
        </w:tc>
      </w:tr>
      <w:tr>
        <w:tc>
          <w:tcPr>
            <w:tcW w:type="dxa" w:w="3672"/>
          </w:tcPr>
          <w:p>
            <w:pPr>
              <w:spacing w:after="40" w:before="40"/>
            </w:pPr>
            <w:r>
              <w:rPr>
                <w:sz w:val="18"/>
              </w:rPr>
              <w:t xml:space="preserve">   book value SGD218,400, no salvage</w:t>
            </w:r>
          </w:p>
        </w:tc>
        <w:tc>
          <w:tcPr>
            <w:tcW w:type="dxa" w:w="2736"/>
          </w:tcPr>
          <w:p>
            <w:pPr>
              <w:spacing w:after="40" w:before="40"/>
              <w:jc w:val="right"/>
            </w:pPr>
            <w:r>
              <w:rPr>
                <w:sz w:val="18"/>
              </w:rPr>
            </w:r>
          </w:p>
        </w:tc>
        <w:tc>
          <w:tcPr>
            <w:tcW w:type="dxa" w:w="2952"/>
          </w:tcPr>
          <w:p>
            <w:pPr>
              <w:spacing w:after="40" w:before="40"/>
              <w:jc w:val="right"/>
            </w:pPr>
            <w:r>
              <w:rPr>
                <w:sz w:val="18"/>
              </w:rPr>
              <w:t>at SGD72,800 per year</w:t>
            </w:r>
          </w:p>
        </w:tc>
      </w:tr>
      <w:tr>
        <w:tc>
          <w:tcPr>
            <w:tcW w:type="dxa" w:w="3672"/>
          </w:tcPr>
          <w:p>
            <w:pPr>
              <w:spacing w:after="40" w:before="40"/>
            </w:pPr>
            <w:r>
              <w:rPr>
                <w:sz w:val="18"/>
              </w:rPr>
              <w:t>Depreciation, straight line</w:t>
            </w:r>
          </w:p>
        </w:tc>
        <w:tc>
          <w:tcPr>
            <w:tcW w:type="dxa" w:w="2736"/>
          </w:tcPr>
          <w:p>
            <w:pPr>
              <w:spacing w:after="40" w:before="40"/>
              <w:jc w:val="right"/>
            </w:pPr>
            <w:r>
              <w:rPr>
                <w:sz w:val="18"/>
              </w:rPr>
              <w:t>182,000 p.a., 2002–2011</w:t>
            </w:r>
          </w:p>
        </w:tc>
        <w:tc>
          <w:tcPr>
            <w:tcW w:type="dxa" w:w="2952"/>
          </w:tcPr>
          <w:p>
            <w:pPr>
              <w:spacing w:after="40" w:before="40"/>
              <w:jc w:val="right"/>
            </w:pPr>
            <w:r>
              <w:rPr>
                <w:sz w:val="18"/>
              </w:rPr>
              <w:t>210,688 p.a., 2005–2014</w:t>
            </w:r>
          </w:p>
        </w:tc>
      </w:tr>
      <w:tr>
        <w:tc>
          <w:tcPr>
            <w:tcW w:type="dxa" w:w="3672"/>
          </w:tcPr>
          <w:p>
            <w:pPr>
              <w:spacing w:after="40" w:before="40"/>
            </w:pPr>
            <w:r>
              <w:rPr>
                <w:sz w:val="18"/>
              </w:rPr>
              <w:t>Maintenance contract</w:t>
            </w:r>
          </w:p>
        </w:tc>
        <w:tc>
          <w:tcPr>
            <w:tcW w:type="dxa" w:w="2736"/>
          </w:tcPr>
          <w:p>
            <w:pPr>
              <w:spacing w:after="40" w:before="40"/>
              <w:jc w:val="right"/>
            </w:pPr>
            <w:r>
              <w:rPr>
                <w:sz w:val="18"/>
              </w:rPr>
              <w:t>3,640 in 2002, +5% p.a.</w:t>
            </w:r>
          </w:p>
        </w:tc>
        <w:tc>
          <w:tcPr>
            <w:tcW w:type="dxa" w:w="2952"/>
          </w:tcPr>
          <w:p>
            <w:pPr>
              <w:spacing w:after="40" w:before="40"/>
              <w:jc w:val="right"/>
            </w:pPr>
            <w:r>
              <w:rPr>
                <w:sz w:val="18"/>
              </w:rPr>
              <w:t>15,470 in 2002, +1.5% p.a. to 2004,</w:t>
            </w:r>
          </w:p>
        </w:tc>
      </w:tr>
      <w:tr>
        <w:tc>
          <w:tcPr>
            <w:tcW w:type="dxa" w:w="3672"/>
          </w:tcPr>
          <w:p>
            <w:pPr>
              <w:spacing w:after="40" w:before="40"/>
            </w:pPr>
            <w:r>
              <w:rPr>
                <w:sz w:val="18"/>
              </w:rPr>
            </w:r>
          </w:p>
        </w:tc>
        <w:tc>
          <w:tcPr>
            <w:tcW w:type="dxa" w:w="2736"/>
          </w:tcPr>
          <w:p>
            <w:pPr>
              <w:spacing w:after="40" w:before="40"/>
              <w:jc w:val="right"/>
            </w:pPr>
            <w:r>
              <w:rPr>
                <w:sz w:val="18"/>
              </w:rPr>
            </w:r>
          </w:p>
        </w:tc>
        <w:tc>
          <w:tcPr>
            <w:tcW w:type="dxa" w:w="2952"/>
          </w:tcPr>
          <w:p>
            <w:pPr>
              <w:spacing w:after="40" w:before="40"/>
              <w:jc w:val="right"/>
            </w:pPr>
            <w:r>
              <w:rPr>
                <w:sz w:val="18"/>
              </w:rPr>
              <w:t>then new contract at +5% p.a.</w:t>
            </w:r>
          </w:p>
        </w:tc>
      </w:tr>
      <w:tr>
        <w:tc>
          <w:tcPr>
            <w:tcW w:type="dxa" w:w="3672"/>
          </w:tcPr>
          <w:p>
            <w:pPr>
              <w:spacing w:after="40" w:before="40"/>
            </w:pPr>
            <w:r>
              <w:rPr>
                <w:sz w:val="18"/>
              </w:rPr>
              <w:t>Operator, regular time</w:t>
            </w:r>
          </w:p>
        </w:tc>
        <w:tc>
          <w:tcPr>
            <w:tcW w:type="dxa" w:w="2736"/>
          </w:tcPr>
          <w:p>
            <w:pPr>
              <w:spacing w:after="40" w:before="40"/>
              <w:jc w:val="right"/>
            </w:pPr>
            <w:r>
              <w:rPr>
                <w:sz w:val="18"/>
              </w:rPr>
              <w:t>63,700, +1.5% p.a.</w:t>
            </w:r>
          </w:p>
        </w:tc>
        <w:tc>
          <w:tcPr>
            <w:tcW w:type="dxa" w:w="2952"/>
          </w:tcPr>
          <w:p>
            <w:pPr>
              <w:spacing w:after="40" w:before="40"/>
              <w:jc w:val="right"/>
            </w:pPr>
            <w:r>
              <w:rPr>
                <w:sz w:val="18"/>
              </w:rPr>
              <w:t>63,700, +1.5% p.a. (no saving)</w:t>
            </w:r>
          </w:p>
        </w:tc>
      </w:tr>
      <w:tr>
        <w:tc>
          <w:tcPr>
            <w:tcW w:type="dxa" w:w="3672"/>
          </w:tcPr>
          <w:p>
            <w:pPr>
              <w:spacing w:after="40" w:before="40"/>
            </w:pPr>
            <w:r>
              <w:rPr>
                <w:sz w:val="18"/>
              </w:rPr>
              <w:t>Overtime premium</w:t>
            </w:r>
          </w:p>
        </w:tc>
        <w:tc>
          <w:tcPr>
            <w:tcW w:type="dxa" w:w="2736"/>
          </w:tcPr>
          <w:p>
            <w:pPr>
              <w:spacing w:after="40" w:before="40"/>
              <w:jc w:val="right"/>
            </w:pPr>
            <w:r>
              <w:rPr>
                <w:sz w:val="18"/>
              </w:rPr>
              <w:t>eliminated</w:t>
            </w:r>
          </w:p>
        </w:tc>
        <w:tc>
          <w:tcPr>
            <w:tcW w:type="dxa" w:w="2952"/>
          </w:tcPr>
          <w:p>
            <w:pPr>
              <w:spacing w:after="40" w:before="40"/>
              <w:jc w:val="right"/>
            </w:pPr>
            <w:r>
              <w:rPr>
                <w:sz w:val="18"/>
              </w:rPr>
              <w:t>18,200 in 2002, +1.5% p.a. to 2004</w:t>
            </w:r>
          </w:p>
        </w:tc>
      </w:tr>
      <w:tr>
        <w:tc>
          <w:tcPr>
            <w:tcW w:type="dxa" w:w="3672"/>
          </w:tcPr>
          <w:p>
            <w:pPr>
              <w:spacing w:after="40" w:before="40"/>
            </w:pPr>
            <w:r>
              <w:rPr>
                <w:sz w:val="18"/>
              </w:rPr>
              <w:t>Terminal / salvage value</w:t>
            </w:r>
          </w:p>
        </w:tc>
        <w:tc>
          <w:tcPr>
            <w:tcW w:type="dxa" w:w="2736"/>
          </w:tcPr>
          <w:p>
            <w:pPr>
              <w:spacing w:after="40" w:before="40"/>
              <w:jc w:val="right"/>
            </w:pPr>
            <w:r>
              <w:rPr>
                <w:sz w:val="18"/>
              </w:rPr>
              <w:t>none</w:t>
            </w:r>
          </w:p>
        </w:tc>
        <w:tc>
          <w:tcPr>
            <w:tcW w:type="dxa" w:w="2952"/>
          </w:tcPr>
          <w:p>
            <w:pPr>
              <w:spacing w:after="40" w:before="40"/>
              <w:jc w:val="right"/>
            </w:pPr>
            <w:r>
              <w:rPr>
                <w:sz w:val="18"/>
              </w:rPr>
              <w:t>none</w:t>
            </w:r>
          </w:p>
        </w:tc>
      </w:tr>
    </w:tbl>
    <w:p>
      <w:pPr>
        <w:spacing w:after="40"/>
      </w:pPr>
    </w:p>
    <w:p>
      <w:pPr>
        <w:spacing w:after="240"/>
      </w:pPr>
      <w:r>
        <w:rPr>
          <w:i/>
          <w:sz w:val="19"/>
        </w:rPr>
        <w:t>Every operating item is taxed at 24.5%. Depreciation is not a cash flow; it enters only through its tax shield. Year-by-year free cash flows are in Exhibit A.</w:t>
      </w:r>
    </w:p>
    <w:p>
      <w:pPr>
        <w:spacing w:after="120"/>
      </w:pPr>
      <w:r>
        <w:rPr>
          <w:b/>
        </w:rPr>
        <w:t>Result.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096"/>
            <w:shd w:val="clear" w:color="auto" w:fill="1F3B57"/>
          </w:tcPr>
          <w:p>
            <w:pPr>
              <w:spacing w:after="40" w:before="40"/>
            </w:pPr>
            <w:r>
              <w:rPr>
                <w:b/>
                <w:color w:val="FFFFFF"/>
                <w:sz w:val="19"/>
              </w:rPr>
              <w:t>At an 11% cost of capital</w:t>
            </w:r>
          </w:p>
        </w:tc>
        <w:tc>
          <w:tcPr>
            <w:tcW w:type="dxa" w:w="1872"/>
            <w:shd w:val="clear" w:color="auto" w:fill="1F3B57"/>
          </w:tcPr>
          <w:p>
            <w:pPr>
              <w:spacing w:after="40" w:before="40"/>
              <w:jc w:val="right"/>
            </w:pPr>
            <w:r>
              <w:rPr>
                <w:b/>
                <w:color w:val="FFFFFF"/>
                <w:sz w:val="19"/>
              </w:rPr>
              <w:t>Buy now</w:t>
            </w:r>
          </w:p>
        </w:tc>
        <w:tc>
          <w:tcPr>
            <w:tcW w:type="dxa" w:w="1944"/>
            <w:shd w:val="clear" w:color="auto" w:fill="1F3B57"/>
          </w:tcPr>
          <w:p>
            <w:pPr>
              <w:spacing w:after="40" w:before="40"/>
              <w:jc w:val="right"/>
            </w:pPr>
            <w:r>
              <w:rPr>
                <w:b/>
                <w:color w:val="FFFFFF"/>
                <w:sz w:val="19"/>
              </w:rPr>
              <w:t>Wait to 2004</w:t>
            </w:r>
          </w:p>
        </w:tc>
        <w:tc>
          <w:tcPr>
            <w:tcW w:type="dxa" w:w="2448"/>
            <w:shd w:val="clear" w:color="auto" w:fill="1F3B57"/>
          </w:tcPr>
          <w:p>
            <w:pPr>
              <w:spacing w:after="40" w:before="40"/>
              <w:jc w:val="right"/>
            </w:pPr>
            <w:r>
              <w:rPr>
                <w:b/>
                <w:color w:val="FFFFFF"/>
                <w:sz w:val="19"/>
              </w:rPr>
              <w:t>Advantage of waiting</w:t>
            </w:r>
          </w:p>
        </w:tc>
      </w:tr>
      <w:tr>
        <w:tc>
          <w:tcPr>
            <w:tcW w:type="dxa" w:w="3096"/>
            <w:shd w:val="clear" w:color="auto" w:fill="EAEFF5"/>
          </w:tcPr>
          <w:p>
            <w:pPr>
              <w:spacing w:after="40" w:before="40"/>
            </w:pPr>
            <w:r>
              <w:rPr>
                <w:b/>
                <w:sz w:val="19"/>
              </w:rPr>
              <w:t>Present value of costs</w:t>
            </w:r>
          </w:p>
        </w:tc>
        <w:tc>
          <w:tcPr>
            <w:tcW w:type="dxa" w:w="1872"/>
            <w:shd w:val="clear" w:color="auto" w:fill="EAEFF5"/>
          </w:tcPr>
          <w:p>
            <w:pPr>
              <w:spacing w:after="40" w:before="40"/>
              <w:jc w:val="right"/>
            </w:pPr>
            <w:r>
              <w:rPr>
                <w:b/>
                <w:sz w:val="19"/>
              </w:rPr>
              <w:t>(1,875,495)</w:t>
            </w:r>
          </w:p>
        </w:tc>
        <w:tc>
          <w:tcPr>
            <w:tcW w:type="dxa" w:w="1944"/>
            <w:shd w:val="clear" w:color="auto" w:fill="EAEFF5"/>
          </w:tcPr>
          <w:p>
            <w:pPr>
              <w:spacing w:after="40" w:before="40"/>
              <w:jc w:val="right"/>
            </w:pPr>
            <w:r>
              <w:rPr>
                <w:b/>
                <w:sz w:val="19"/>
              </w:rPr>
              <w:t>(1,702,230)</w:t>
            </w:r>
          </w:p>
        </w:tc>
        <w:tc>
          <w:tcPr>
            <w:tcW w:type="dxa" w:w="2448"/>
            <w:shd w:val="clear" w:color="auto" w:fill="EAEFF5"/>
          </w:tcPr>
          <w:p>
            <w:pPr>
              <w:spacing w:after="40" w:before="40"/>
              <w:jc w:val="right"/>
            </w:pPr>
            <w:r>
              <w:rPr>
                <w:b/>
                <w:sz w:val="19"/>
              </w:rPr>
              <w:t>173,265</w:t>
            </w:r>
          </w:p>
        </w:tc>
      </w:tr>
      <w:tr>
        <w:tc>
          <w:tcPr>
            <w:tcW w:type="dxa" w:w="3096"/>
            <w:shd w:val="clear" w:color="auto" w:fill="EAEFF5"/>
          </w:tcPr>
          <w:p>
            <w:pPr>
              <w:spacing w:after="40" w:before="40"/>
            </w:pPr>
            <w:r>
              <w:rPr>
                <w:b/>
                <w:sz w:val="19"/>
              </w:rPr>
              <w:t>Equivalent annual cost</w:t>
            </w:r>
          </w:p>
        </w:tc>
        <w:tc>
          <w:tcPr>
            <w:tcW w:type="dxa" w:w="1872"/>
            <w:shd w:val="clear" w:color="auto" w:fill="EAEFF5"/>
          </w:tcPr>
          <w:p>
            <w:pPr>
              <w:spacing w:after="40" w:before="40"/>
              <w:jc w:val="right"/>
            </w:pPr>
            <w:r>
              <w:rPr>
                <w:b/>
                <w:sz w:val="19"/>
              </w:rPr>
              <w:t>(277,856)</w:t>
            </w:r>
          </w:p>
        </w:tc>
        <w:tc>
          <w:tcPr>
            <w:tcW w:type="dxa" w:w="1944"/>
            <w:shd w:val="clear" w:color="auto" w:fill="EAEFF5"/>
          </w:tcPr>
          <w:p>
            <w:pPr>
              <w:spacing w:after="40" w:before="40"/>
              <w:jc w:val="right"/>
            </w:pPr>
            <w:r>
              <w:rPr>
                <w:b/>
                <w:sz w:val="19"/>
              </w:rPr>
              <w:t>(252,187)</w:t>
            </w:r>
          </w:p>
        </w:tc>
        <w:tc>
          <w:tcPr>
            <w:tcW w:type="dxa" w:w="2448"/>
            <w:shd w:val="clear" w:color="auto" w:fill="EAEFF5"/>
          </w:tcPr>
          <w:p>
            <w:pPr>
              <w:spacing w:after="40" w:before="40"/>
              <w:jc w:val="right"/>
            </w:pPr>
            <w:r>
              <w:rPr>
                <w:b/>
                <w:sz w:val="19"/>
              </w:rPr>
              <w:t>25,669</w:t>
            </w:r>
          </w:p>
        </w:tc>
      </w:tr>
    </w:tbl>
    <w:p>
      <w:pPr>
        <w:spacing w:after="40"/>
      </w:pPr>
    </w:p>
    <w:p>
      <w:pPr>
        <w:spacing w:after="240"/>
      </w:pPr>
      <w:r>
        <w:rPr>
          <w:i/>
          <w:sz w:val="19"/>
        </w:rPr>
        <w:t>Both alternatives are annualised over the same 13 years. Annualising “buy now” over the machine's 10-year depreciable life and “wait” over 13 would show an advantage of SGD66,275 a year, 2.6 times the true figure, because it divides the two present values by different numbers of years. We report the common-basis figure.</w:t>
      </w:r>
    </w:p>
    <w:p>
      <w:pPr>
        <w:spacing w:after="160"/>
      </w:pPr>
      <w:r>
        <w:rPr>
          <w:b/>
        </w:rPr>
        <w:t xml:space="preserve">Why buying now loses. </w:t>
      </w:r>
      <w:r>
        <w:t>The savings Mr. Lim identifies are genuine but modest and short-lived. Eliminating overtime (SGD18,200) and the old maintenance bill (SGD15,470 against SGD3,640) saves about SGD30,000 a year before tax, and only for the three years until the old machine must go — roughly SGD22,700 a year after tax, about SGD55,000 in present value. Buying now also pulls forward the SGD53,508 tax shield on writing off the old machine. Set against that, buying now spends SGD1.82 million three years early. Deferring to SGD2,106,878 in 2004 costs only about SGD1.54 million in today's money. The SGD286,878 the manufacturer will add to the price does not come close to offsetting three years of the time value of SGD1.82 million.</w:t>
      </w:r>
    </w:p>
    <w:p>
      <w:pPr>
        <w:spacing w:after="160"/>
      </w:pPr>
      <w:r>
        <w:rPr>
          <w:i w:val="0"/>
        </w:rPr>
        <w:t>Andy Chin's instinct was right: the decision does hinge on the discount rate. The two alternatives break even at 6.61%. Below that, buy now; above it, wait. At 11% the margin is not close.</w:t>
      </w:r>
    </w:p>
    <w:p>
      <w:r>
        <w:br w:type="page"/>
      </w:r>
    </w:p>
    <w:p>
      <w:pPr>
        <w:keepNext/>
        <w:spacing w:before="40" w:after="80"/>
      </w:pPr>
      <w:r>
        <w:rPr>
          <w:b/>
          <w:color w:val="1F3B57"/>
          <w:sz w:val="25"/>
        </w:rPr>
        <w:t>4.  Risks: what would have to be true for this recommendation to be wrong</w:t>
      </w:r>
    </w:p>
    <w:p>
      <w:pPr>
        <w:spacing w:after="160"/>
      </w:pPr>
      <w:r>
        <w:rPr>
          <w:i w:val="0"/>
        </w:rPr>
        <w:t>The recommendation survives most of what could reasonably be doubted. We tested it; see Exhibit B.</w:t>
      </w:r>
    </w:p>
    <w:p>
      <w:pPr>
        <w:pStyle w:val="ListBullet"/>
        <w:spacing w:after="100"/>
        <w:ind w:left="432"/>
      </w:pPr>
      <w:r>
        <w:rPr>
          <w:b/>
          <w:sz w:val="21"/>
        </w:rPr>
        <w:t xml:space="preserve">The old machine failing early does not change it. </w:t>
      </w:r>
      <w:r>
        <w:rPr>
          <w:sz w:val="21"/>
        </w:rPr>
        <w:t>Even if growth forces replacement in 2003, or even 2002, waiting still wins, by SGD117,100 and SGD58,455 respectively. The case for waiting does not rest on the old machine holding out.</w:t>
      </w:r>
    </w:p>
    <w:p>
      <w:pPr>
        <w:pStyle w:val="ListBullet"/>
        <w:spacing w:after="100"/>
        <w:ind w:left="432"/>
      </w:pPr>
      <w:r>
        <w:rPr>
          <w:b/>
          <w:sz w:val="21"/>
        </w:rPr>
        <w:t xml:space="preserve">Higher labour and maintenance inflation does not change it. </w:t>
      </w:r>
      <w:r>
        <w:rPr>
          <w:sz w:val="21"/>
        </w:rPr>
        <w:t>At 5% rather than 1.5%, the answer is essentially unchanged at SGD171,199, because higher inflation raises the old machine's costs and the new machine's labour bill almost equally.</w:t>
      </w:r>
    </w:p>
    <w:p>
      <w:pPr>
        <w:pStyle w:val="ListBullet"/>
        <w:spacing w:after="100"/>
        <w:ind w:left="432"/>
      </w:pPr>
      <w:r>
        <w:rPr>
          <w:b/>
          <w:sz w:val="21"/>
        </w:rPr>
        <w:t xml:space="preserve">Faster equipment inflation has room to run. </w:t>
      </w:r>
      <w:r>
        <w:rPr>
          <w:sz w:val="21"/>
        </w:rPr>
        <w:t>Waiting still wins for equipment price escalation up to 9.4% a year, against the 5% the manufacturer has charged historically.</w:t>
      </w:r>
    </w:p>
    <w:p>
      <w:pPr>
        <w:spacing w:after="120"/>
      </w:pPr>
      <w:r>
        <w:rPr>
          <w:b/>
        </w:rPr>
        <w:t>Three things would overturn it.</w:t>
      </w:r>
    </w:p>
    <w:p>
      <w:pPr>
        <w:pStyle w:val="ListBullet"/>
        <w:spacing w:after="100"/>
        <w:ind w:left="432"/>
      </w:pPr>
      <w:r>
        <w:rPr>
          <w:b/>
          <w:sz w:val="21"/>
        </w:rPr>
        <w:t xml:space="preserve">1.  A cost of capital below 6.61%. </w:t>
      </w:r>
      <w:r>
        <w:rPr>
          <w:sz w:val="21"/>
        </w:rPr>
        <w:t>If Star River financed this at the bank's rate — 6.70% pre-tax, 5.06% after tax — buying now would win by SGD64,777. Anyone who argues that 11% is too high for an in-place, cost-saving asset with near-certain cash flows has a real argument. We disagree: 11% is the firm's cost of capital, and Star River's marginal funding is a short-term line the bank is already trying to shrink, not fresh borrowing at prime.</w:t>
      </w:r>
    </w:p>
    <w:p>
      <w:pPr>
        <w:pStyle w:val="ListBullet"/>
        <w:spacing w:after="100"/>
        <w:ind w:left="432"/>
      </w:pPr>
      <w:r>
        <w:rPr>
          <w:b/>
          <w:sz w:val="21"/>
        </w:rPr>
        <w:t xml:space="preserve">2.  Unquantified benefits worth more than about SGD34,000 a year, pre-tax, in perpetuity. </w:t>
      </w:r>
      <w:r>
        <w:rPr>
          <w:sz w:val="21"/>
        </w:rPr>
        <w:t>This is the real gap in the plant manager's memo. He describes constant monitoring, frequent shutdowns, “several two-shift days catching up with production,” and greater packaging flexibility — and quantifies none of it. If reliability and flexibility are worth SGD34,000 a year, a little over 0.03% of sales, buying now is correct. Before you turn this request down, ask Mr. Lim to put a number on downtime and on what flexible packaging would do for the DVD line.</w:t>
      </w:r>
    </w:p>
    <w:p>
      <w:pPr>
        <w:pStyle w:val="ListBullet"/>
        <w:spacing w:after="100"/>
        <w:ind w:left="432"/>
      </w:pPr>
      <w:r>
        <w:rPr>
          <w:b/>
          <w:sz w:val="21"/>
        </w:rPr>
        <w:t xml:space="preserve">3.  Labour savings far larger than claimed. </w:t>
      </w:r>
      <w:r>
        <w:rPr>
          <w:sz w:val="21"/>
        </w:rPr>
        <w:t>Eliminating overtime saves SGD18,200 a year. To justify buying now on labour alone you would need SGD110,811 a year — more than the operator's entire SGD81,900 compensation. Labour savings cannot carry this decision even if the machine ran unattended.</w:t>
      </w:r>
    </w:p>
    <w:p>
      <w:pPr>
        <w:spacing w:after="160"/>
      </w:pPr>
      <w:r>
        <w:rPr>
          <w:b/>
        </w:rPr>
        <w:t xml:space="preserve">One further consideration, beyond the arithmetic. </w:t>
      </w:r>
      <w:r>
        <w:t>Even if the two alternatives were a coin flip, the balance sheet is not. You will ask City Bank for an extension tomorrow with SGD85 million of short-term borrowings outstanding, a quick ratio of 0.34, and SGD54.6 million of DVD equipment still to fund. Spending SGD1.82 million of cash in 2001 to save SGD22,700 a year through 2004 is the wrong use of the scarcest resource the company has. The same SGD1.82 million is a rounding error next to the roughly SGD27 million sitting in excess inventory, which is where we would point the plant's attention instead.</w:t>
      </w:r>
    </w:p>
    <w:p>
      <w:r>
        <w:br w:type="page"/>
      </w:r>
    </w:p>
    <w:p>
      <w:pPr>
        <w:keepNext/>
        <w:spacing w:before="40" w:after="80"/>
      </w:pPr>
      <w:r>
        <w:rPr>
          <w:b/>
          <w:color w:val="1F3B57"/>
          <w:sz w:val="24"/>
        </w:rPr>
        <w:t>Exhibit A  —  Incremental free cash flows (SGD)</w:t>
      </w:r>
    </w:p>
    <w:p>
      <w:pPr>
        <w:spacing w:after="120"/>
      </w:pPr>
      <w:r>
        <w:rPr>
          <w:i/>
          <w:sz w:val="19"/>
        </w:rPr>
        <w:t>Costs shown as negative. “Advantage of waiting” is the wait cash flow less the buy-now cash flow; positive means waiting is better in that year.</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80"/>
            <w:shd w:val="clear" w:color="auto" w:fill="1F3B57"/>
          </w:tcPr>
          <w:p>
            <w:pPr>
              <w:spacing w:after="40" w:before="40"/>
            </w:pPr>
            <w:r>
              <w:rPr>
                <w:b/>
                <w:color w:val="FFFFFF"/>
                <w:sz w:val="18"/>
              </w:rPr>
              <w:t>Year</w:t>
            </w:r>
          </w:p>
        </w:tc>
        <w:tc>
          <w:tcPr>
            <w:tcW w:type="dxa" w:w="576"/>
            <w:shd w:val="clear" w:color="auto" w:fill="1F3B57"/>
          </w:tcPr>
          <w:p>
            <w:pPr>
              <w:spacing w:after="40" w:before="40"/>
              <w:jc w:val="right"/>
            </w:pPr>
            <w:r>
              <w:rPr>
                <w:b/>
                <w:color w:val="FFFFFF"/>
                <w:sz w:val="18"/>
              </w:rPr>
              <w:t>t</w:t>
            </w:r>
          </w:p>
        </w:tc>
        <w:tc>
          <w:tcPr>
            <w:tcW w:type="dxa" w:w="2016"/>
            <w:shd w:val="clear" w:color="auto" w:fill="1F3B57"/>
          </w:tcPr>
          <w:p>
            <w:pPr>
              <w:spacing w:after="40" w:before="40"/>
              <w:jc w:val="right"/>
            </w:pPr>
            <w:r>
              <w:rPr>
                <w:b/>
                <w:color w:val="FFFFFF"/>
                <w:sz w:val="18"/>
              </w:rPr>
              <w:t>Buy now</w:t>
            </w:r>
          </w:p>
        </w:tc>
        <w:tc>
          <w:tcPr>
            <w:tcW w:type="dxa" w:w="2088"/>
            <w:shd w:val="clear" w:color="auto" w:fill="1F3B57"/>
          </w:tcPr>
          <w:p>
            <w:pPr>
              <w:spacing w:after="40" w:before="40"/>
              <w:jc w:val="right"/>
            </w:pPr>
            <w:r>
              <w:rPr>
                <w:b/>
                <w:color w:val="FFFFFF"/>
                <w:sz w:val="18"/>
              </w:rPr>
              <w:t>Wait to 2004</w:t>
            </w:r>
          </w:p>
        </w:tc>
        <w:tc>
          <w:tcPr>
            <w:tcW w:type="dxa" w:w="2304"/>
            <w:shd w:val="clear" w:color="auto" w:fill="1F3B57"/>
          </w:tcPr>
          <w:p>
            <w:pPr>
              <w:spacing w:after="40" w:before="40"/>
              <w:jc w:val="right"/>
            </w:pPr>
            <w:r>
              <w:rPr>
                <w:b/>
                <w:color w:val="FFFFFF"/>
                <w:sz w:val="18"/>
              </w:rPr>
              <w:t>Advantage of waiting</w:t>
            </w:r>
          </w:p>
        </w:tc>
      </w:tr>
      <w:tr>
        <w:tc>
          <w:tcPr>
            <w:tcW w:type="dxa" w:w="1080"/>
          </w:tcPr>
          <w:p>
            <w:pPr>
              <w:spacing w:after="40" w:before="40"/>
            </w:pPr>
            <w:r>
              <w:rPr>
                <w:sz w:val="18"/>
              </w:rPr>
              <w:t>2001</w:t>
            </w:r>
          </w:p>
        </w:tc>
        <w:tc>
          <w:tcPr>
            <w:tcW w:type="dxa" w:w="576"/>
          </w:tcPr>
          <w:p>
            <w:pPr>
              <w:spacing w:after="40" w:before="40"/>
              <w:jc w:val="right"/>
            </w:pPr>
            <w:r>
              <w:rPr>
                <w:sz w:val="18"/>
              </w:rPr>
              <w:t>0</w:t>
            </w:r>
          </w:p>
        </w:tc>
        <w:tc>
          <w:tcPr>
            <w:tcW w:type="dxa" w:w="2016"/>
          </w:tcPr>
          <w:p>
            <w:pPr>
              <w:spacing w:after="40" w:before="40"/>
              <w:jc w:val="right"/>
            </w:pPr>
            <w:r>
              <w:rPr>
                <w:sz w:val="18"/>
              </w:rPr>
              <w:t>(1,766,492)</w:t>
            </w:r>
          </w:p>
        </w:tc>
        <w:tc>
          <w:tcPr>
            <w:tcW w:type="dxa" w:w="2088"/>
          </w:tcPr>
          <w:p>
            <w:pPr>
              <w:spacing w:after="40" w:before="40"/>
              <w:jc w:val="right"/>
            </w:pPr>
            <w:r>
              <w:rPr>
                <w:sz w:val="18"/>
              </w:rPr>
              <w:t>0</w:t>
            </w:r>
          </w:p>
        </w:tc>
        <w:tc>
          <w:tcPr>
            <w:tcW w:type="dxa" w:w="2304"/>
          </w:tcPr>
          <w:p>
            <w:pPr>
              <w:spacing w:after="40" w:before="40"/>
              <w:jc w:val="right"/>
            </w:pPr>
            <w:r>
              <w:rPr>
                <w:sz w:val="18"/>
              </w:rPr>
              <w:t>1,766,492</w:t>
            </w:r>
          </w:p>
        </w:tc>
      </w:tr>
      <w:tr>
        <w:tc>
          <w:tcPr>
            <w:tcW w:type="dxa" w:w="1080"/>
          </w:tcPr>
          <w:p>
            <w:pPr>
              <w:spacing w:after="40" w:before="40"/>
            </w:pPr>
            <w:r>
              <w:rPr>
                <w:sz w:val="18"/>
              </w:rPr>
              <w:t>2002</w:t>
            </w:r>
          </w:p>
        </w:tc>
        <w:tc>
          <w:tcPr>
            <w:tcW w:type="dxa" w:w="576"/>
          </w:tcPr>
          <w:p>
            <w:pPr>
              <w:spacing w:after="40" w:before="40"/>
              <w:jc w:val="right"/>
            </w:pPr>
            <w:r>
              <w:rPr>
                <w:sz w:val="18"/>
              </w:rPr>
              <w:t>1</w:t>
            </w:r>
          </w:p>
        </w:tc>
        <w:tc>
          <w:tcPr>
            <w:tcW w:type="dxa" w:w="2016"/>
          </w:tcPr>
          <w:p>
            <w:pPr>
              <w:spacing w:after="40" w:before="40"/>
              <w:jc w:val="right"/>
            </w:pPr>
            <w:r>
              <w:rPr>
                <w:sz w:val="18"/>
              </w:rPr>
              <w:t>(6,252)</w:t>
            </w:r>
          </w:p>
        </w:tc>
        <w:tc>
          <w:tcPr>
            <w:tcW w:type="dxa" w:w="2088"/>
          </w:tcPr>
          <w:p>
            <w:pPr>
              <w:spacing w:after="40" w:before="40"/>
              <w:jc w:val="right"/>
            </w:pPr>
            <w:r>
              <w:rPr>
                <w:sz w:val="18"/>
              </w:rPr>
              <w:t>(55,678)</w:t>
            </w:r>
          </w:p>
        </w:tc>
        <w:tc>
          <w:tcPr>
            <w:tcW w:type="dxa" w:w="2304"/>
          </w:tcPr>
          <w:p>
            <w:pPr>
              <w:spacing w:after="40" w:before="40"/>
              <w:jc w:val="right"/>
            </w:pPr>
            <w:r>
              <w:rPr>
                <w:sz w:val="18"/>
              </w:rPr>
              <w:t>(49,427)</w:t>
            </w:r>
          </w:p>
        </w:tc>
      </w:tr>
      <w:tr>
        <w:tc>
          <w:tcPr>
            <w:tcW w:type="dxa" w:w="1080"/>
          </w:tcPr>
          <w:p>
            <w:pPr>
              <w:spacing w:after="40" w:before="40"/>
            </w:pPr>
            <w:r>
              <w:rPr>
                <w:sz w:val="18"/>
              </w:rPr>
              <w:t>2003</w:t>
            </w:r>
          </w:p>
        </w:tc>
        <w:tc>
          <w:tcPr>
            <w:tcW w:type="dxa" w:w="576"/>
          </w:tcPr>
          <w:p>
            <w:pPr>
              <w:spacing w:after="40" w:before="40"/>
              <w:jc w:val="right"/>
            </w:pPr>
            <w:r>
              <w:rPr>
                <w:sz w:val="18"/>
              </w:rPr>
              <w:t>2</w:t>
            </w:r>
          </w:p>
        </w:tc>
        <w:tc>
          <w:tcPr>
            <w:tcW w:type="dxa" w:w="2016"/>
          </w:tcPr>
          <w:p>
            <w:pPr>
              <w:spacing w:after="40" w:before="40"/>
              <w:jc w:val="right"/>
            </w:pPr>
            <w:r>
              <w:rPr>
                <w:sz w:val="18"/>
              </w:rPr>
              <w:t>(7,111)</w:t>
            </w:r>
          </w:p>
        </w:tc>
        <w:tc>
          <w:tcPr>
            <w:tcW w:type="dxa" w:w="2088"/>
          </w:tcPr>
          <w:p>
            <w:pPr>
              <w:spacing w:after="40" w:before="40"/>
              <w:jc w:val="right"/>
            </w:pPr>
            <w:r>
              <w:rPr>
                <w:sz w:val="18"/>
              </w:rPr>
              <w:t>(56,781)</w:t>
            </w:r>
          </w:p>
        </w:tc>
        <w:tc>
          <w:tcPr>
            <w:tcW w:type="dxa" w:w="2304"/>
          </w:tcPr>
          <w:p>
            <w:pPr>
              <w:spacing w:after="40" w:before="40"/>
              <w:jc w:val="right"/>
            </w:pPr>
            <w:r>
              <w:rPr>
                <w:sz w:val="18"/>
              </w:rPr>
              <w:t>(49,671)</w:t>
            </w:r>
          </w:p>
        </w:tc>
      </w:tr>
      <w:tr>
        <w:tc>
          <w:tcPr>
            <w:tcW w:type="dxa" w:w="1080"/>
          </w:tcPr>
          <w:p>
            <w:pPr>
              <w:spacing w:after="40" w:before="40"/>
            </w:pPr>
            <w:r>
              <w:rPr>
                <w:sz w:val="18"/>
              </w:rPr>
              <w:t>2004</w:t>
            </w:r>
          </w:p>
        </w:tc>
        <w:tc>
          <w:tcPr>
            <w:tcW w:type="dxa" w:w="576"/>
          </w:tcPr>
          <w:p>
            <w:pPr>
              <w:spacing w:after="40" w:before="40"/>
              <w:jc w:val="right"/>
            </w:pPr>
            <w:r>
              <w:rPr>
                <w:sz w:val="18"/>
              </w:rPr>
              <w:t>3</w:t>
            </w:r>
          </w:p>
        </w:tc>
        <w:tc>
          <w:tcPr>
            <w:tcW w:type="dxa" w:w="2016"/>
          </w:tcPr>
          <w:p>
            <w:pPr>
              <w:spacing w:after="40" w:before="40"/>
              <w:jc w:val="right"/>
            </w:pPr>
            <w:r>
              <w:rPr>
                <w:sz w:val="18"/>
              </w:rPr>
              <w:t>(7,987)</w:t>
            </w:r>
          </w:p>
        </w:tc>
        <w:tc>
          <w:tcPr>
            <w:tcW w:type="dxa" w:w="2088"/>
          </w:tcPr>
          <w:p>
            <w:pPr>
              <w:spacing w:after="40" w:before="40"/>
              <w:jc w:val="right"/>
            </w:pPr>
            <w:r>
              <w:rPr>
                <w:sz w:val="18"/>
              </w:rPr>
              <w:t>(2,164,778)</w:t>
            </w:r>
          </w:p>
        </w:tc>
        <w:tc>
          <w:tcPr>
            <w:tcW w:type="dxa" w:w="2304"/>
          </w:tcPr>
          <w:p>
            <w:pPr>
              <w:spacing w:after="40" w:before="40"/>
              <w:jc w:val="right"/>
            </w:pPr>
            <w:r>
              <w:rPr>
                <w:sz w:val="18"/>
              </w:rPr>
              <w:t>(2,156,791)</w:t>
            </w:r>
          </w:p>
        </w:tc>
      </w:tr>
      <w:tr>
        <w:tc>
          <w:tcPr>
            <w:tcW w:type="dxa" w:w="1080"/>
          </w:tcPr>
          <w:p>
            <w:pPr>
              <w:spacing w:after="40" w:before="40"/>
            </w:pPr>
            <w:r>
              <w:rPr>
                <w:sz w:val="18"/>
              </w:rPr>
              <w:t>2005</w:t>
            </w:r>
          </w:p>
        </w:tc>
        <w:tc>
          <w:tcPr>
            <w:tcW w:type="dxa" w:w="576"/>
          </w:tcPr>
          <w:p>
            <w:pPr>
              <w:spacing w:after="40" w:before="40"/>
              <w:jc w:val="right"/>
            </w:pPr>
            <w:r>
              <w:rPr>
                <w:sz w:val="18"/>
              </w:rPr>
              <w:t>4</w:t>
            </w:r>
          </w:p>
        </w:tc>
        <w:tc>
          <w:tcPr>
            <w:tcW w:type="dxa" w:w="2016"/>
          </w:tcPr>
          <w:p>
            <w:pPr>
              <w:spacing w:after="40" w:before="40"/>
              <w:jc w:val="right"/>
            </w:pPr>
            <w:r>
              <w:rPr>
                <w:sz w:val="18"/>
              </w:rPr>
              <w:t>(8,882)</w:t>
            </w:r>
          </w:p>
        </w:tc>
        <w:tc>
          <w:tcPr>
            <w:tcW w:type="dxa" w:w="2088"/>
          </w:tcPr>
          <w:p>
            <w:pPr>
              <w:spacing w:after="40" w:before="40"/>
              <w:jc w:val="right"/>
            </w:pPr>
            <w:r>
              <w:rPr>
                <w:sz w:val="18"/>
              </w:rPr>
              <w:t>(1,853)</w:t>
            </w:r>
          </w:p>
        </w:tc>
        <w:tc>
          <w:tcPr>
            <w:tcW w:type="dxa" w:w="2304"/>
          </w:tcPr>
          <w:p>
            <w:pPr>
              <w:spacing w:after="40" w:before="40"/>
              <w:jc w:val="right"/>
            </w:pPr>
            <w:r>
              <w:rPr>
                <w:sz w:val="18"/>
              </w:rPr>
              <w:t>7,028</w:t>
            </w:r>
          </w:p>
        </w:tc>
      </w:tr>
      <w:tr>
        <w:tc>
          <w:tcPr>
            <w:tcW w:type="dxa" w:w="1080"/>
          </w:tcPr>
          <w:p>
            <w:pPr>
              <w:spacing w:after="40" w:before="40"/>
            </w:pPr>
            <w:r>
              <w:rPr>
                <w:sz w:val="18"/>
              </w:rPr>
              <w:t>2006</w:t>
            </w:r>
          </w:p>
        </w:tc>
        <w:tc>
          <w:tcPr>
            <w:tcW w:type="dxa" w:w="576"/>
          </w:tcPr>
          <w:p>
            <w:pPr>
              <w:spacing w:after="40" w:before="40"/>
              <w:jc w:val="right"/>
            </w:pPr>
            <w:r>
              <w:rPr>
                <w:sz w:val="18"/>
              </w:rPr>
              <w:t>5</w:t>
            </w:r>
          </w:p>
        </w:tc>
        <w:tc>
          <w:tcPr>
            <w:tcW w:type="dxa" w:w="2016"/>
          </w:tcPr>
          <w:p>
            <w:pPr>
              <w:spacing w:after="40" w:before="40"/>
              <w:jc w:val="right"/>
            </w:pPr>
            <w:r>
              <w:rPr>
                <w:sz w:val="18"/>
              </w:rPr>
              <w:t>(9,795)</w:t>
            </w:r>
          </w:p>
        </w:tc>
        <w:tc>
          <w:tcPr>
            <w:tcW w:type="dxa" w:w="2088"/>
          </w:tcPr>
          <w:p>
            <w:pPr>
              <w:spacing w:after="40" w:before="40"/>
              <w:jc w:val="right"/>
            </w:pPr>
            <w:r>
              <w:rPr>
                <w:sz w:val="18"/>
              </w:rPr>
              <w:t>(2,767)</w:t>
            </w:r>
          </w:p>
        </w:tc>
        <w:tc>
          <w:tcPr>
            <w:tcW w:type="dxa" w:w="2304"/>
          </w:tcPr>
          <w:p>
            <w:pPr>
              <w:spacing w:after="40" w:before="40"/>
              <w:jc w:val="right"/>
            </w:pPr>
            <w:r>
              <w:rPr>
                <w:sz w:val="18"/>
              </w:rPr>
              <w:t>7,028</w:t>
            </w:r>
          </w:p>
        </w:tc>
      </w:tr>
      <w:tr>
        <w:tc>
          <w:tcPr>
            <w:tcW w:type="dxa" w:w="1080"/>
          </w:tcPr>
          <w:p>
            <w:pPr>
              <w:spacing w:after="40" w:before="40"/>
            </w:pPr>
            <w:r>
              <w:rPr>
                <w:sz w:val="18"/>
              </w:rPr>
              <w:t>2007</w:t>
            </w:r>
          </w:p>
        </w:tc>
        <w:tc>
          <w:tcPr>
            <w:tcW w:type="dxa" w:w="576"/>
          </w:tcPr>
          <w:p>
            <w:pPr>
              <w:spacing w:after="40" w:before="40"/>
              <w:jc w:val="right"/>
            </w:pPr>
            <w:r>
              <w:rPr>
                <w:sz w:val="18"/>
              </w:rPr>
              <w:t>6</w:t>
            </w:r>
          </w:p>
        </w:tc>
        <w:tc>
          <w:tcPr>
            <w:tcW w:type="dxa" w:w="2016"/>
          </w:tcPr>
          <w:p>
            <w:pPr>
              <w:spacing w:after="40" w:before="40"/>
              <w:jc w:val="right"/>
            </w:pPr>
            <w:r>
              <w:rPr>
                <w:sz w:val="18"/>
              </w:rPr>
              <w:t>(10,728)</w:t>
            </w:r>
          </w:p>
        </w:tc>
        <w:tc>
          <w:tcPr>
            <w:tcW w:type="dxa" w:w="2088"/>
          </w:tcPr>
          <w:p>
            <w:pPr>
              <w:spacing w:after="40" w:before="40"/>
              <w:jc w:val="right"/>
            </w:pPr>
            <w:r>
              <w:rPr>
                <w:sz w:val="18"/>
              </w:rPr>
              <w:t>(3,699)</w:t>
            </w:r>
          </w:p>
        </w:tc>
        <w:tc>
          <w:tcPr>
            <w:tcW w:type="dxa" w:w="2304"/>
          </w:tcPr>
          <w:p>
            <w:pPr>
              <w:spacing w:after="40" w:before="40"/>
              <w:jc w:val="right"/>
            </w:pPr>
            <w:r>
              <w:rPr>
                <w:sz w:val="18"/>
              </w:rPr>
              <w:t>7,028</w:t>
            </w:r>
          </w:p>
        </w:tc>
      </w:tr>
      <w:tr>
        <w:tc>
          <w:tcPr>
            <w:tcW w:type="dxa" w:w="1080"/>
          </w:tcPr>
          <w:p>
            <w:pPr>
              <w:spacing w:after="40" w:before="40"/>
            </w:pPr>
            <w:r>
              <w:rPr>
                <w:sz w:val="18"/>
              </w:rPr>
              <w:t>2008</w:t>
            </w:r>
          </w:p>
        </w:tc>
        <w:tc>
          <w:tcPr>
            <w:tcW w:type="dxa" w:w="576"/>
          </w:tcPr>
          <w:p>
            <w:pPr>
              <w:spacing w:after="40" w:before="40"/>
              <w:jc w:val="right"/>
            </w:pPr>
            <w:r>
              <w:rPr>
                <w:sz w:val="18"/>
              </w:rPr>
              <w:t>7</w:t>
            </w:r>
          </w:p>
        </w:tc>
        <w:tc>
          <w:tcPr>
            <w:tcW w:type="dxa" w:w="2016"/>
          </w:tcPr>
          <w:p>
            <w:pPr>
              <w:spacing w:after="40" w:before="40"/>
              <w:jc w:val="right"/>
            </w:pPr>
            <w:r>
              <w:rPr>
                <w:sz w:val="18"/>
              </w:rPr>
              <w:t>(11,680)</w:t>
            </w:r>
          </w:p>
        </w:tc>
        <w:tc>
          <w:tcPr>
            <w:tcW w:type="dxa" w:w="2088"/>
          </w:tcPr>
          <w:p>
            <w:pPr>
              <w:spacing w:after="40" w:before="40"/>
              <w:jc w:val="right"/>
            </w:pPr>
            <w:r>
              <w:rPr>
                <w:sz w:val="18"/>
              </w:rPr>
              <w:t>(4,652)</w:t>
            </w:r>
          </w:p>
        </w:tc>
        <w:tc>
          <w:tcPr>
            <w:tcW w:type="dxa" w:w="2304"/>
          </w:tcPr>
          <w:p>
            <w:pPr>
              <w:spacing w:after="40" w:before="40"/>
              <w:jc w:val="right"/>
            </w:pPr>
            <w:r>
              <w:rPr>
                <w:sz w:val="18"/>
              </w:rPr>
              <w:t>7,028</w:t>
            </w:r>
          </w:p>
        </w:tc>
      </w:tr>
      <w:tr>
        <w:tc>
          <w:tcPr>
            <w:tcW w:type="dxa" w:w="1080"/>
          </w:tcPr>
          <w:p>
            <w:pPr>
              <w:spacing w:after="40" w:before="40"/>
            </w:pPr>
            <w:r>
              <w:rPr>
                <w:sz w:val="18"/>
              </w:rPr>
              <w:t>2009</w:t>
            </w:r>
          </w:p>
        </w:tc>
        <w:tc>
          <w:tcPr>
            <w:tcW w:type="dxa" w:w="576"/>
          </w:tcPr>
          <w:p>
            <w:pPr>
              <w:spacing w:after="40" w:before="40"/>
              <w:jc w:val="right"/>
            </w:pPr>
            <w:r>
              <w:rPr>
                <w:sz w:val="18"/>
              </w:rPr>
              <w:t>8</w:t>
            </w:r>
          </w:p>
        </w:tc>
        <w:tc>
          <w:tcPr>
            <w:tcW w:type="dxa" w:w="2016"/>
          </w:tcPr>
          <w:p>
            <w:pPr>
              <w:spacing w:after="40" w:before="40"/>
              <w:jc w:val="right"/>
            </w:pPr>
            <w:r>
              <w:rPr>
                <w:sz w:val="18"/>
              </w:rPr>
              <w:t>(12,653)</w:t>
            </w:r>
          </w:p>
        </w:tc>
        <w:tc>
          <w:tcPr>
            <w:tcW w:type="dxa" w:w="2088"/>
          </w:tcPr>
          <w:p>
            <w:pPr>
              <w:spacing w:after="40" w:before="40"/>
              <w:jc w:val="right"/>
            </w:pPr>
            <w:r>
              <w:rPr>
                <w:sz w:val="18"/>
              </w:rPr>
              <w:t>(5,625)</w:t>
            </w:r>
          </w:p>
        </w:tc>
        <w:tc>
          <w:tcPr>
            <w:tcW w:type="dxa" w:w="2304"/>
          </w:tcPr>
          <w:p>
            <w:pPr>
              <w:spacing w:after="40" w:before="40"/>
              <w:jc w:val="right"/>
            </w:pPr>
            <w:r>
              <w:rPr>
                <w:sz w:val="18"/>
              </w:rPr>
              <w:t>7,028</w:t>
            </w:r>
          </w:p>
        </w:tc>
      </w:tr>
      <w:tr>
        <w:tc>
          <w:tcPr>
            <w:tcW w:type="dxa" w:w="1080"/>
          </w:tcPr>
          <w:p>
            <w:pPr>
              <w:spacing w:after="40" w:before="40"/>
            </w:pPr>
            <w:r>
              <w:rPr>
                <w:sz w:val="18"/>
              </w:rPr>
              <w:t>2010</w:t>
            </w:r>
          </w:p>
        </w:tc>
        <w:tc>
          <w:tcPr>
            <w:tcW w:type="dxa" w:w="576"/>
          </w:tcPr>
          <w:p>
            <w:pPr>
              <w:spacing w:after="40" w:before="40"/>
              <w:jc w:val="right"/>
            </w:pPr>
            <w:r>
              <w:rPr>
                <w:sz w:val="18"/>
              </w:rPr>
              <w:t>9</w:t>
            </w:r>
          </w:p>
        </w:tc>
        <w:tc>
          <w:tcPr>
            <w:tcW w:type="dxa" w:w="2016"/>
          </w:tcPr>
          <w:p>
            <w:pPr>
              <w:spacing w:after="40" w:before="40"/>
              <w:jc w:val="right"/>
            </w:pPr>
            <w:r>
              <w:rPr>
                <w:sz w:val="18"/>
              </w:rPr>
              <w:t>(13,647)</w:t>
            </w:r>
          </w:p>
        </w:tc>
        <w:tc>
          <w:tcPr>
            <w:tcW w:type="dxa" w:w="2088"/>
          </w:tcPr>
          <w:p>
            <w:pPr>
              <w:spacing w:after="40" w:before="40"/>
              <w:jc w:val="right"/>
            </w:pPr>
            <w:r>
              <w:rPr>
                <w:sz w:val="18"/>
              </w:rPr>
              <w:t>(6,619)</w:t>
            </w:r>
          </w:p>
        </w:tc>
        <w:tc>
          <w:tcPr>
            <w:tcW w:type="dxa" w:w="2304"/>
          </w:tcPr>
          <w:p>
            <w:pPr>
              <w:spacing w:after="40" w:before="40"/>
              <w:jc w:val="right"/>
            </w:pPr>
            <w:r>
              <w:rPr>
                <w:sz w:val="18"/>
              </w:rPr>
              <w:t>7,028</w:t>
            </w:r>
          </w:p>
        </w:tc>
      </w:tr>
      <w:tr>
        <w:tc>
          <w:tcPr>
            <w:tcW w:type="dxa" w:w="1080"/>
          </w:tcPr>
          <w:p>
            <w:pPr>
              <w:spacing w:after="40" w:before="40"/>
            </w:pPr>
            <w:r>
              <w:rPr>
                <w:sz w:val="18"/>
              </w:rPr>
              <w:t>2011</w:t>
            </w:r>
          </w:p>
        </w:tc>
        <w:tc>
          <w:tcPr>
            <w:tcW w:type="dxa" w:w="576"/>
          </w:tcPr>
          <w:p>
            <w:pPr>
              <w:spacing w:after="40" w:before="40"/>
              <w:jc w:val="right"/>
            </w:pPr>
            <w:r>
              <w:rPr>
                <w:sz w:val="18"/>
              </w:rPr>
              <w:t>10</w:t>
            </w:r>
          </w:p>
        </w:tc>
        <w:tc>
          <w:tcPr>
            <w:tcW w:type="dxa" w:w="2016"/>
          </w:tcPr>
          <w:p>
            <w:pPr>
              <w:spacing w:after="40" w:before="40"/>
              <w:jc w:val="right"/>
            </w:pPr>
            <w:r>
              <w:rPr>
                <w:sz w:val="18"/>
              </w:rPr>
              <w:t>(14,663)</w:t>
            </w:r>
          </w:p>
        </w:tc>
        <w:tc>
          <w:tcPr>
            <w:tcW w:type="dxa" w:w="2088"/>
          </w:tcPr>
          <w:p>
            <w:pPr>
              <w:spacing w:after="40" w:before="40"/>
              <w:jc w:val="right"/>
            </w:pPr>
            <w:r>
              <w:rPr>
                <w:sz w:val="18"/>
              </w:rPr>
              <w:t>(7,634)</w:t>
            </w:r>
          </w:p>
        </w:tc>
        <w:tc>
          <w:tcPr>
            <w:tcW w:type="dxa" w:w="2304"/>
          </w:tcPr>
          <w:p>
            <w:pPr>
              <w:spacing w:after="40" w:before="40"/>
              <w:jc w:val="right"/>
            </w:pPr>
            <w:r>
              <w:rPr>
                <w:sz w:val="18"/>
              </w:rPr>
              <w:t>7,028</w:t>
            </w:r>
          </w:p>
        </w:tc>
      </w:tr>
      <w:tr>
        <w:tc>
          <w:tcPr>
            <w:tcW w:type="dxa" w:w="1080"/>
          </w:tcPr>
          <w:p>
            <w:pPr>
              <w:spacing w:after="40" w:before="40"/>
            </w:pPr>
            <w:r>
              <w:rPr>
                <w:sz w:val="18"/>
              </w:rPr>
              <w:t>2012</w:t>
            </w:r>
          </w:p>
        </w:tc>
        <w:tc>
          <w:tcPr>
            <w:tcW w:type="dxa" w:w="576"/>
          </w:tcPr>
          <w:p>
            <w:pPr>
              <w:spacing w:after="40" w:before="40"/>
              <w:jc w:val="right"/>
            </w:pPr>
            <w:r>
              <w:rPr>
                <w:sz w:val="18"/>
              </w:rPr>
              <w:t>11</w:t>
            </w:r>
          </w:p>
        </w:tc>
        <w:tc>
          <w:tcPr>
            <w:tcW w:type="dxa" w:w="2016"/>
          </w:tcPr>
          <w:p>
            <w:pPr>
              <w:spacing w:after="40" w:before="40"/>
              <w:jc w:val="right"/>
            </w:pPr>
            <w:r>
              <w:rPr>
                <w:sz w:val="18"/>
              </w:rPr>
              <w:t>(60,291)</w:t>
            </w:r>
          </w:p>
        </w:tc>
        <w:tc>
          <w:tcPr>
            <w:tcW w:type="dxa" w:w="2088"/>
          </w:tcPr>
          <w:p>
            <w:pPr>
              <w:spacing w:after="40" w:before="40"/>
              <w:jc w:val="right"/>
            </w:pPr>
            <w:r>
              <w:rPr>
                <w:sz w:val="18"/>
              </w:rPr>
              <w:t>(8,672)</w:t>
            </w:r>
          </w:p>
        </w:tc>
        <w:tc>
          <w:tcPr>
            <w:tcW w:type="dxa" w:w="2304"/>
          </w:tcPr>
          <w:p>
            <w:pPr>
              <w:spacing w:after="40" w:before="40"/>
              <w:jc w:val="right"/>
            </w:pPr>
            <w:r>
              <w:rPr>
                <w:sz w:val="18"/>
              </w:rPr>
              <w:t>51,618</w:t>
            </w:r>
          </w:p>
        </w:tc>
      </w:tr>
      <w:tr>
        <w:tc>
          <w:tcPr>
            <w:tcW w:type="dxa" w:w="1080"/>
          </w:tcPr>
          <w:p>
            <w:pPr>
              <w:spacing w:after="40" w:before="40"/>
            </w:pPr>
            <w:r>
              <w:rPr>
                <w:sz w:val="18"/>
              </w:rPr>
              <w:t>2013</w:t>
            </w:r>
          </w:p>
        </w:tc>
        <w:tc>
          <w:tcPr>
            <w:tcW w:type="dxa" w:w="576"/>
          </w:tcPr>
          <w:p>
            <w:pPr>
              <w:spacing w:after="40" w:before="40"/>
              <w:jc w:val="right"/>
            </w:pPr>
            <w:r>
              <w:rPr>
                <w:sz w:val="18"/>
              </w:rPr>
              <w:t>12</w:t>
            </w:r>
          </w:p>
        </w:tc>
        <w:tc>
          <w:tcPr>
            <w:tcW w:type="dxa" w:w="2016"/>
          </w:tcPr>
          <w:p>
            <w:pPr>
              <w:spacing w:after="40" w:before="40"/>
              <w:jc w:val="right"/>
            </w:pPr>
            <w:r>
              <w:rPr>
                <w:sz w:val="18"/>
              </w:rPr>
              <w:t>(61,352)</w:t>
            </w:r>
          </w:p>
        </w:tc>
        <w:tc>
          <w:tcPr>
            <w:tcW w:type="dxa" w:w="2088"/>
          </w:tcPr>
          <w:p>
            <w:pPr>
              <w:spacing w:after="40" w:before="40"/>
              <w:jc w:val="right"/>
            </w:pPr>
            <w:r>
              <w:rPr>
                <w:sz w:val="18"/>
              </w:rPr>
              <w:t>(9,734)</w:t>
            </w:r>
          </w:p>
        </w:tc>
        <w:tc>
          <w:tcPr>
            <w:tcW w:type="dxa" w:w="2304"/>
          </w:tcPr>
          <w:p>
            <w:pPr>
              <w:spacing w:after="40" w:before="40"/>
              <w:jc w:val="right"/>
            </w:pPr>
            <w:r>
              <w:rPr>
                <w:sz w:val="18"/>
              </w:rPr>
              <w:t>51,618</w:t>
            </w:r>
          </w:p>
        </w:tc>
      </w:tr>
      <w:tr>
        <w:tc>
          <w:tcPr>
            <w:tcW w:type="dxa" w:w="1080"/>
          </w:tcPr>
          <w:p>
            <w:pPr>
              <w:spacing w:after="40" w:before="40"/>
            </w:pPr>
            <w:r>
              <w:rPr>
                <w:sz w:val="18"/>
              </w:rPr>
              <w:t>2014</w:t>
            </w:r>
          </w:p>
        </w:tc>
        <w:tc>
          <w:tcPr>
            <w:tcW w:type="dxa" w:w="576"/>
          </w:tcPr>
          <w:p>
            <w:pPr>
              <w:spacing w:after="40" w:before="40"/>
              <w:jc w:val="right"/>
            </w:pPr>
            <w:r>
              <w:rPr>
                <w:sz w:val="18"/>
              </w:rPr>
              <w:t>13</w:t>
            </w:r>
          </w:p>
        </w:tc>
        <w:tc>
          <w:tcPr>
            <w:tcW w:type="dxa" w:w="2016"/>
          </w:tcPr>
          <w:p>
            <w:pPr>
              <w:spacing w:after="40" w:before="40"/>
              <w:jc w:val="right"/>
            </w:pPr>
            <w:r>
              <w:rPr>
                <w:sz w:val="18"/>
              </w:rPr>
              <w:t>(62,437)</w:t>
            </w:r>
          </w:p>
        </w:tc>
        <w:tc>
          <w:tcPr>
            <w:tcW w:type="dxa" w:w="2088"/>
          </w:tcPr>
          <w:p>
            <w:pPr>
              <w:spacing w:after="40" w:before="40"/>
              <w:jc w:val="right"/>
            </w:pPr>
            <w:r>
              <w:rPr>
                <w:sz w:val="18"/>
              </w:rPr>
              <w:t>(10,818)</w:t>
            </w:r>
          </w:p>
        </w:tc>
        <w:tc>
          <w:tcPr>
            <w:tcW w:type="dxa" w:w="2304"/>
          </w:tcPr>
          <w:p>
            <w:pPr>
              <w:spacing w:after="40" w:before="40"/>
              <w:jc w:val="right"/>
            </w:pPr>
            <w:r>
              <w:rPr>
                <w:sz w:val="18"/>
              </w:rPr>
              <w:t>51,618</w:t>
            </w:r>
          </w:p>
        </w:tc>
      </w:tr>
      <w:tr>
        <w:tc>
          <w:tcPr>
            <w:tcW w:type="dxa" w:w="1080"/>
            <w:shd w:val="clear" w:color="auto" w:fill="EAEFF5"/>
          </w:tcPr>
          <w:p>
            <w:pPr>
              <w:spacing w:after="40" w:before="40"/>
            </w:pPr>
            <w:r>
              <w:rPr>
                <w:b/>
                <w:sz w:val="18"/>
              </w:rPr>
              <w:t>PV at 11%</w:t>
            </w:r>
          </w:p>
        </w:tc>
        <w:tc>
          <w:tcPr>
            <w:tcW w:type="dxa" w:w="576"/>
            <w:shd w:val="clear" w:color="auto" w:fill="EAEFF5"/>
          </w:tcPr>
          <w:p>
            <w:pPr>
              <w:spacing w:after="40" w:before="40"/>
              <w:jc w:val="right"/>
            </w:pPr>
            <w:r>
              <w:rPr>
                <w:b/>
                <w:sz w:val="18"/>
              </w:rPr>
            </w:r>
          </w:p>
        </w:tc>
        <w:tc>
          <w:tcPr>
            <w:tcW w:type="dxa" w:w="2016"/>
            <w:shd w:val="clear" w:color="auto" w:fill="EAEFF5"/>
          </w:tcPr>
          <w:p>
            <w:pPr>
              <w:spacing w:after="40" w:before="40"/>
              <w:jc w:val="right"/>
            </w:pPr>
            <w:r>
              <w:rPr>
                <w:b/>
                <w:sz w:val="18"/>
              </w:rPr>
              <w:t>(1,875,495)</w:t>
            </w:r>
          </w:p>
        </w:tc>
        <w:tc>
          <w:tcPr>
            <w:tcW w:type="dxa" w:w="2088"/>
            <w:shd w:val="clear" w:color="auto" w:fill="EAEFF5"/>
          </w:tcPr>
          <w:p>
            <w:pPr>
              <w:spacing w:after="40" w:before="40"/>
              <w:jc w:val="right"/>
            </w:pPr>
            <w:r>
              <w:rPr>
                <w:b/>
                <w:sz w:val="18"/>
              </w:rPr>
              <w:t>(1,702,230)</w:t>
            </w:r>
          </w:p>
        </w:tc>
        <w:tc>
          <w:tcPr>
            <w:tcW w:type="dxa" w:w="2304"/>
            <w:shd w:val="clear" w:color="auto" w:fill="EAEFF5"/>
          </w:tcPr>
          <w:p>
            <w:pPr>
              <w:spacing w:after="40" w:before="40"/>
              <w:jc w:val="right"/>
            </w:pPr>
            <w:r>
              <w:rPr>
                <w:b/>
                <w:sz w:val="18"/>
              </w:rPr>
              <w:t>173,265</w:t>
            </w:r>
          </w:p>
        </w:tc>
      </w:tr>
    </w:tbl>
    <w:p>
      <w:pPr>
        <w:spacing w:after="40"/>
      </w:pPr>
    </w:p>
    <w:p>
      <w:pPr>
        <w:spacing w:after="280"/>
      </w:pPr>
      <w:r>
        <w:rPr>
          <w:i/>
          <w:sz w:val="18"/>
        </w:rPr>
        <w:t>From 2015 onward both alternatives carry identical maintenance, identical labour and zero depreciation, so every later year's difference is exactly zero and the horizon cannot affect the answer. Stopping at 2011, the new machine's depreciable life, would look natural and would understate the advantage of waiting by SGD44,425.</w:t>
      </w:r>
    </w:p>
    <w:p>
      <w:pPr>
        <w:keepNext/>
        <w:spacing w:before="280" w:after="80"/>
      </w:pPr>
      <w:r>
        <w:rPr>
          <w:b/>
          <w:color w:val="1F3B57"/>
          <w:sz w:val="24"/>
        </w:rPr>
        <w:t>Exhibit B  —  Sensitivity of the advantage of waiting (SGD, present value)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5400"/>
            <w:shd w:val="clear" w:color="auto" w:fill="1F3B57"/>
          </w:tcPr>
          <w:p>
            <w:pPr>
              <w:spacing w:after="40" w:before="40"/>
            </w:pPr>
            <w:r>
              <w:rPr>
                <w:b/>
                <w:color w:val="FFFFFF"/>
                <w:sz w:val="18"/>
              </w:rPr>
              <w:t>Assumption changed</w:t>
            </w:r>
          </w:p>
        </w:tc>
        <w:tc>
          <w:tcPr>
            <w:tcW w:type="dxa" w:w="2232"/>
            <w:shd w:val="clear" w:color="auto" w:fill="1F3B57"/>
          </w:tcPr>
          <w:p>
            <w:pPr>
              <w:spacing w:after="40" w:before="40"/>
              <w:jc w:val="right"/>
            </w:pPr>
            <w:r>
              <w:rPr>
                <w:b/>
                <w:color w:val="FFFFFF"/>
                <w:sz w:val="18"/>
              </w:rPr>
              <w:t>Advantage of waiting</w:t>
            </w:r>
          </w:p>
        </w:tc>
        <w:tc>
          <w:tcPr>
            <w:tcW w:type="dxa" w:w="1728"/>
            <w:shd w:val="clear" w:color="auto" w:fill="1F3B57"/>
          </w:tcPr>
          <w:p>
            <w:pPr>
              <w:spacing w:after="40" w:before="40"/>
              <w:jc w:val="right"/>
            </w:pPr>
            <w:r>
              <w:rPr>
                <w:b/>
                <w:color w:val="FFFFFF"/>
                <w:sz w:val="18"/>
              </w:rPr>
              <w:t>Decision</w:t>
            </w:r>
          </w:p>
        </w:tc>
      </w:tr>
      <w:tr>
        <w:tc>
          <w:tcPr>
            <w:tcW w:type="dxa" w:w="5400"/>
            <w:shd w:val="clear" w:color="auto" w:fill="EAEFF5"/>
          </w:tcPr>
          <w:p>
            <w:pPr>
              <w:spacing w:after="40" w:before="40"/>
            </w:pPr>
            <w:r>
              <w:rPr>
                <w:b/>
                <w:sz w:val="18"/>
              </w:rPr>
              <w:t>Base case: 11% WACC, 5% equipment escalation, 1.5% inflation</w:t>
            </w:r>
          </w:p>
        </w:tc>
        <w:tc>
          <w:tcPr>
            <w:tcW w:type="dxa" w:w="2232"/>
            <w:shd w:val="clear" w:color="auto" w:fill="EAEFF5"/>
          </w:tcPr>
          <w:p>
            <w:pPr>
              <w:spacing w:after="40" w:before="40"/>
              <w:jc w:val="right"/>
            </w:pPr>
            <w:r>
              <w:rPr>
                <w:b/>
                <w:sz w:val="18"/>
              </w:rPr>
              <w:t>173,265</w:t>
            </w:r>
          </w:p>
        </w:tc>
        <w:tc>
          <w:tcPr>
            <w:tcW w:type="dxa" w:w="1728"/>
            <w:shd w:val="clear" w:color="auto" w:fill="EAEFF5"/>
          </w:tcPr>
          <w:p>
            <w:pPr>
              <w:spacing w:after="40" w:before="40"/>
              <w:jc w:val="right"/>
            </w:pPr>
            <w:r>
              <w:rPr>
                <w:b/>
                <w:sz w:val="18"/>
              </w:rPr>
              <w:t>Wait</w:t>
            </w:r>
          </w:p>
        </w:tc>
      </w:tr>
      <w:tr>
        <w:tc>
          <w:tcPr>
            <w:tcW w:type="dxa" w:w="5400"/>
          </w:tcPr>
          <w:p>
            <w:pPr>
              <w:spacing w:after="40" w:before="40"/>
            </w:pPr>
            <w:r>
              <w:rPr>
                <w:sz w:val="18"/>
              </w:rPr>
              <w:t>WACC 14%</w:t>
            </w:r>
          </w:p>
        </w:tc>
        <w:tc>
          <w:tcPr>
            <w:tcW w:type="dxa" w:w="2232"/>
          </w:tcPr>
          <w:p>
            <w:pPr>
              <w:spacing w:after="40" w:before="40"/>
              <w:jc w:val="right"/>
            </w:pPr>
            <w:r>
              <w:rPr>
                <w:sz w:val="18"/>
              </w:rPr>
              <w:t>281,813</w:t>
            </w:r>
          </w:p>
        </w:tc>
        <w:tc>
          <w:tcPr>
            <w:tcW w:type="dxa" w:w="1728"/>
          </w:tcPr>
          <w:p>
            <w:pPr>
              <w:spacing w:after="40" w:before="40"/>
              <w:jc w:val="right"/>
            </w:pPr>
            <w:r>
              <w:rPr>
                <w:sz w:val="18"/>
              </w:rPr>
              <w:t>Wait</w:t>
            </w:r>
          </w:p>
        </w:tc>
      </w:tr>
      <w:tr>
        <w:tc>
          <w:tcPr>
            <w:tcW w:type="dxa" w:w="5400"/>
          </w:tcPr>
          <w:p>
            <w:pPr>
              <w:spacing w:after="40" w:before="40"/>
            </w:pPr>
            <w:r>
              <w:rPr>
                <w:sz w:val="18"/>
              </w:rPr>
              <w:t>WACC 8%</w:t>
            </w:r>
          </w:p>
        </w:tc>
        <w:tc>
          <w:tcPr>
            <w:tcW w:type="dxa" w:w="2232"/>
          </w:tcPr>
          <w:p>
            <w:pPr>
              <w:spacing w:after="40" w:before="40"/>
              <w:jc w:val="right"/>
            </w:pPr>
            <w:r>
              <w:rPr>
                <w:sz w:val="18"/>
              </w:rPr>
              <w:t>56,677</w:t>
            </w:r>
          </w:p>
        </w:tc>
        <w:tc>
          <w:tcPr>
            <w:tcW w:type="dxa" w:w="1728"/>
          </w:tcPr>
          <w:p>
            <w:pPr>
              <w:spacing w:after="40" w:before="40"/>
              <w:jc w:val="right"/>
            </w:pPr>
            <w:r>
              <w:rPr>
                <w:sz w:val="18"/>
              </w:rPr>
              <w:t>Wait</w:t>
            </w:r>
          </w:p>
        </w:tc>
      </w:tr>
      <w:tr>
        <w:tc>
          <w:tcPr>
            <w:tcW w:type="dxa" w:w="5400"/>
          </w:tcPr>
          <w:p>
            <w:pPr>
              <w:spacing w:after="40" w:before="40"/>
            </w:pPr>
            <w:r>
              <w:rPr>
                <w:sz w:val="18"/>
              </w:rPr>
              <w:t>WACC 6.61% — break-even</w:t>
            </w:r>
          </w:p>
        </w:tc>
        <w:tc>
          <w:tcPr>
            <w:tcW w:type="dxa" w:w="2232"/>
          </w:tcPr>
          <w:p>
            <w:pPr>
              <w:spacing w:after="40" w:before="40"/>
              <w:jc w:val="right"/>
            </w:pPr>
            <w:r>
              <w:rPr>
                <w:sz w:val="18"/>
              </w:rPr>
              <w:t>0</w:t>
            </w:r>
          </w:p>
        </w:tc>
        <w:tc>
          <w:tcPr>
            <w:tcW w:type="dxa" w:w="1728"/>
          </w:tcPr>
          <w:p>
            <w:pPr>
              <w:spacing w:after="40" w:before="40"/>
              <w:jc w:val="right"/>
            </w:pPr>
            <w:r>
              <w:rPr>
                <w:sz w:val="18"/>
              </w:rPr>
              <w:t>Indifferent</w:t>
            </w:r>
          </w:p>
        </w:tc>
      </w:tr>
      <w:tr>
        <w:tc>
          <w:tcPr>
            <w:tcW w:type="dxa" w:w="5400"/>
          </w:tcPr>
          <w:p>
            <w:pPr>
              <w:spacing w:after="40" w:before="40"/>
            </w:pPr>
            <w:r>
              <w:rPr>
                <w:sz w:val="18"/>
              </w:rPr>
              <w:t>WACC 6%</w:t>
            </w:r>
          </w:p>
        </w:tc>
        <w:tc>
          <w:tcPr>
            <w:tcW w:type="dxa" w:w="2232"/>
          </w:tcPr>
          <w:p>
            <w:pPr>
              <w:spacing w:after="40" w:before="40"/>
              <w:jc w:val="right"/>
            </w:pPr>
            <w:r>
              <w:rPr>
                <w:sz w:val="18"/>
              </w:rPr>
              <w:t>(25,238)</w:t>
            </w:r>
          </w:p>
        </w:tc>
        <w:tc>
          <w:tcPr>
            <w:tcW w:type="dxa" w:w="1728"/>
          </w:tcPr>
          <w:p>
            <w:pPr>
              <w:spacing w:after="40" w:before="40"/>
              <w:jc w:val="right"/>
            </w:pPr>
            <w:r>
              <w:rPr>
                <w:sz w:val="18"/>
              </w:rPr>
              <w:t>Buy now</w:t>
            </w:r>
          </w:p>
        </w:tc>
      </w:tr>
      <w:tr>
        <w:tc>
          <w:tcPr>
            <w:tcW w:type="dxa" w:w="5400"/>
          </w:tcPr>
          <w:p>
            <w:pPr>
              <w:spacing w:after="40" w:before="40"/>
            </w:pPr>
            <w:r>
              <w:rPr>
                <w:sz w:val="18"/>
              </w:rPr>
              <w:t>WACC 5.06%, the after-tax cost of bank debt</w:t>
            </w:r>
          </w:p>
        </w:tc>
        <w:tc>
          <w:tcPr>
            <w:tcW w:type="dxa" w:w="2232"/>
          </w:tcPr>
          <w:p>
            <w:pPr>
              <w:spacing w:after="40" w:before="40"/>
              <w:jc w:val="right"/>
            </w:pPr>
            <w:r>
              <w:rPr>
                <w:sz w:val="18"/>
              </w:rPr>
              <w:t>(64,777)</w:t>
            </w:r>
          </w:p>
        </w:tc>
        <w:tc>
          <w:tcPr>
            <w:tcW w:type="dxa" w:w="1728"/>
          </w:tcPr>
          <w:p>
            <w:pPr>
              <w:spacing w:after="40" w:before="40"/>
              <w:jc w:val="right"/>
            </w:pPr>
            <w:r>
              <w:rPr>
                <w:sz w:val="18"/>
              </w:rPr>
              <w:t>Buy now</w:t>
            </w:r>
          </w:p>
        </w:tc>
      </w:tr>
      <w:tr>
        <w:tc>
          <w:tcPr>
            <w:tcW w:type="dxa" w:w="5400"/>
          </w:tcPr>
          <w:p>
            <w:pPr>
              <w:spacing w:after="40" w:before="40"/>
            </w:pPr>
            <w:r>
              <w:rPr>
                <w:sz w:val="18"/>
              </w:rPr>
              <w:t>Equipment escalation 8%, against 5%</w:t>
            </w:r>
          </w:p>
        </w:tc>
        <w:tc>
          <w:tcPr>
            <w:tcW w:type="dxa" w:w="2232"/>
          </w:tcPr>
          <w:p>
            <w:pPr>
              <w:spacing w:after="40" w:before="40"/>
              <w:jc w:val="right"/>
            </w:pPr>
            <w:r>
              <w:rPr>
                <w:sz w:val="18"/>
              </w:rPr>
              <w:t>57,208</w:t>
            </w:r>
          </w:p>
        </w:tc>
        <w:tc>
          <w:tcPr>
            <w:tcW w:type="dxa" w:w="1728"/>
          </w:tcPr>
          <w:p>
            <w:pPr>
              <w:spacing w:after="40" w:before="40"/>
              <w:jc w:val="right"/>
            </w:pPr>
            <w:r>
              <w:rPr>
                <w:sz w:val="18"/>
              </w:rPr>
              <w:t>Wait</w:t>
            </w:r>
          </w:p>
        </w:tc>
      </w:tr>
      <w:tr>
        <w:tc>
          <w:tcPr>
            <w:tcW w:type="dxa" w:w="5400"/>
          </w:tcPr>
          <w:p>
            <w:pPr>
              <w:spacing w:after="40" w:before="40"/>
            </w:pPr>
            <w:r>
              <w:rPr>
                <w:sz w:val="18"/>
              </w:rPr>
              <w:t>Equipment escalation 9.42% — break-even</w:t>
            </w:r>
          </w:p>
        </w:tc>
        <w:tc>
          <w:tcPr>
            <w:tcW w:type="dxa" w:w="2232"/>
          </w:tcPr>
          <w:p>
            <w:pPr>
              <w:spacing w:after="40" w:before="40"/>
              <w:jc w:val="right"/>
            </w:pPr>
            <w:r>
              <w:rPr>
                <w:sz w:val="18"/>
              </w:rPr>
              <w:t>0</w:t>
            </w:r>
          </w:p>
        </w:tc>
        <w:tc>
          <w:tcPr>
            <w:tcW w:type="dxa" w:w="1728"/>
          </w:tcPr>
          <w:p>
            <w:pPr>
              <w:spacing w:after="40" w:before="40"/>
              <w:jc w:val="right"/>
            </w:pPr>
            <w:r>
              <w:rPr>
                <w:sz w:val="18"/>
              </w:rPr>
              <w:t>Indifferent</w:t>
            </w:r>
          </w:p>
        </w:tc>
      </w:tr>
      <w:tr>
        <w:tc>
          <w:tcPr>
            <w:tcW w:type="dxa" w:w="5400"/>
          </w:tcPr>
          <w:p>
            <w:pPr>
              <w:spacing w:after="40" w:before="40"/>
            </w:pPr>
            <w:r>
              <w:rPr>
                <w:sz w:val="18"/>
              </w:rPr>
              <w:t>Equipment escalation 12%</w:t>
            </w:r>
          </w:p>
        </w:tc>
        <w:tc>
          <w:tcPr>
            <w:tcW w:type="dxa" w:w="2232"/>
          </w:tcPr>
          <w:p>
            <w:pPr>
              <w:spacing w:after="40" w:before="40"/>
              <w:jc w:val="right"/>
            </w:pPr>
            <w:r>
              <w:rPr>
                <w:sz w:val="18"/>
              </w:rPr>
              <w:t>(107,892)</w:t>
            </w:r>
          </w:p>
        </w:tc>
        <w:tc>
          <w:tcPr>
            <w:tcW w:type="dxa" w:w="1728"/>
          </w:tcPr>
          <w:p>
            <w:pPr>
              <w:spacing w:after="40" w:before="40"/>
              <w:jc w:val="right"/>
            </w:pPr>
            <w:r>
              <w:rPr>
                <w:sz w:val="18"/>
              </w:rPr>
              <w:t>Buy now</w:t>
            </w:r>
          </w:p>
        </w:tc>
      </w:tr>
      <w:tr>
        <w:tc>
          <w:tcPr>
            <w:tcW w:type="dxa" w:w="5400"/>
          </w:tcPr>
          <w:p>
            <w:pPr>
              <w:spacing w:after="40" w:before="40"/>
            </w:pPr>
            <w:r>
              <w:rPr>
                <w:sz w:val="18"/>
              </w:rPr>
              <w:t>Labour and maintenance inflation 5%, against 1.5%</w:t>
            </w:r>
          </w:p>
        </w:tc>
        <w:tc>
          <w:tcPr>
            <w:tcW w:type="dxa" w:w="2232"/>
          </w:tcPr>
          <w:p>
            <w:pPr>
              <w:spacing w:after="40" w:before="40"/>
              <w:jc w:val="right"/>
            </w:pPr>
            <w:r>
              <w:rPr>
                <w:sz w:val="18"/>
              </w:rPr>
              <w:t>171,199</w:t>
            </w:r>
          </w:p>
        </w:tc>
        <w:tc>
          <w:tcPr>
            <w:tcW w:type="dxa" w:w="1728"/>
          </w:tcPr>
          <w:p>
            <w:pPr>
              <w:spacing w:after="40" w:before="40"/>
              <w:jc w:val="right"/>
            </w:pPr>
            <w:r>
              <w:rPr>
                <w:sz w:val="18"/>
              </w:rPr>
              <w:t>Wait</w:t>
            </w:r>
          </w:p>
        </w:tc>
      </w:tr>
      <w:tr>
        <w:tc>
          <w:tcPr>
            <w:tcW w:type="dxa" w:w="5400"/>
          </w:tcPr>
          <w:p>
            <w:pPr>
              <w:spacing w:after="40" w:before="40"/>
            </w:pPr>
            <w:r>
              <w:rPr>
                <w:sz w:val="18"/>
              </w:rPr>
              <w:t>Old machine must be replaced in 2003, not 2004</w:t>
            </w:r>
          </w:p>
        </w:tc>
        <w:tc>
          <w:tcPr>
            <w:tcW w:type="dxa" w:w="2232"/>
          </w:tcPr>
          <w:p>
            <w:pPr>
              <w:spacing w:after="40" w:before="40"/>
              <w:jc w:val="right"/>
            </w:pPr>
            <w:r>
              <w:rPr>
                <w:sz w:val="18"/>
              </w:rPr>
              <w:t>117,100</w:t>
            </w:r>
          </w:p>
        </w:tc>
        <w:tc>
          <w:tcPr>
            <w:tcW w:type="dxa" w:w="1728"/>
          </w:tcPr>
          <w:p>
            <w:pPr>
              <w:spacing w:after="40" w:before="40"/>
              <w:jc w:val="right"/>
            </w:pPr>
            <w:r>
              <w:rPr>
                <w:sz w:val="18"/>
              </w:rPr>
              <w:t>Wait</w:t>
            </w:r>
          </w:p>
        </w:tc>
      </w:tr>
      <w:tr>
        <w:tc>
          <w:tcPr>
            <w:tcW w:type="dxa" w:w="5400"/>
          </w:tcPr>
          <w:p>
            <w:pPr>
              <w:spacing w:after="40" w:before="40"/>
            </w:pPr>
            <w:r>
              <w:rPr>
                <w:sz w:val="18"/>
              </w:rPr>
              <w:t>Old machine must be replaced in 2002, not 2004</w:t>
            </w:r>
          </w:p>
        </w:tc>
        <w:tc>
          <w:tcPr>
            <w:tcW w:type="dxa" w:w="2232"/>
          </w:tcPr>
          <w:p>
            <w:pPr>
              <w:spacing w:after="40" w:before="40"/>
              <w:jc w:val="right"/>
            </w:pPr>
            <w:r>
              <w:rPr>
                <w:sz w:val="18"/>
              </w:rPr>
              <w:t>58,455</w:t>
            </w:r>
          </w:p>
        </w:tc>
        <w:tc>
          <w:tcPr>
            <w:tcW w:type="dxa" w:w="1728"/>
          </w:tcPr>
          <w:p>
            <w:pPr>
              <w:spacing w:after="40" w:before="40"/>
              <w:jc w:val="right"/>
            </w:pPr>
            <w:r>
              <w:rPr>
                <w:sz w:val="18"/>
              </w:rPr>
              <w:t>Wait</w:t>
            </w:r>
          </w:p>
        </w:tc>
      </w:tr>
      <w:tr>
        <w:tc>
          <w:tcPr>
            <w:tcW w:type="dxa" w:w="5400"/>
          </w:tcPr>
          <w:p>
            <w:pPr>
              <w:spacing w:after="40" w:before="40"/>
            </w:pPr>
            <w:r>
              <w:rPr>
                <w:sz w:val="18"/>
              </w:rPr>
              <w:t>Unquantified benefits of SGD34,000 p.a. pre-tax — break-even</w:t>
            </w:r>
          </w:p>
        </w:tc>
        <w:tc>
          <w:tcPr>
            <w:tcW w:type="dxa" w:w="2232"/>
          </w:tcPr>
          <w:p>
            <w:pPr>
              <w:spacing w:after="40" w:before="40"/>
              <w:jc w:val="right"/>
            </w:pPr>
            <w:r>
              <w:rPr>
                <w:sz w:val="18"/>
              </w:rPr>
              <w:t>0</w:t>
            </w:r>
          </w:p>
        </w:tc>
        <w:tc>
          <w:tcPr>
            <w:tcW w:type="dxa" w:w="1728"/>
          </w:tcPr>
          <w:p>
            <w:pPr>
              <w:spacing w:after="40" w:before="40"/>
              <w:jc w:val="right"/>
            </w:pPr>
            <w:r>
              <w:rPr>
                <w:sz w:val="18"/>
              </w:rPr>
              <w:t>Indifferent</w:t>
            </w:r>
          </w:p>
        </w:tc>
      </w:tr>
      <w:tr>
        <w:tc>
          <w:tcPr>
            <w:tcW w:type="dxa" w:w="5400"/>
          </w:tcPr>
          <w:p>
            <w:pPr>
              <w:spacing w:after="40" w:before="40"/>
            </w:pPr>
            <w:r>
              <w:rPr>
                <w:sz w:val="18"/>
              </w:rPr>
              <w:t>Annual labour saving of SGD110,811, against SGD18,200 — break-even</w:t>
            </w:r>
          </w:p>
        </w:tc>
        <w:tc>
          <w:tcPr>
            <w:tcW w:type="dxa" w:w="2232"/>
          </w:tcPr>
          <w:p>
            <w:pPr>
              <w:spacing w:after="40" w:before="40"/>
              <w:jc w:val="right"/>
            </w:pPr>
            <w:r>
              <w:rPr>
                <w:sz w:val="18"/>
              </w:rPr>
              <w:t>0</w:t>
            </w:r>
          </w:p>
        </w:tc>
        <w:tc>
          <w:tcPr>
            <w:tcW w:type="dxa" w:w="1728"/>
          </w:tcPr>
          <w:p>
            <w:pPr>
              <w:spacing w:after="40" w:before="40"/>
              <w:jc w:val="right"/>
            </w:pPr>
            <w:r>
              <w:rPr>
                <w:sz w:val="18"/>
              </w:rPr>
              <w:t>Indifferent</w:t>
            </w:r>
          </w:p>
        </w:tc>
      </w:tr>
    </w:tbl>
    <w:p>
      <w:pPr>
        <w:spacing w:after="40"/>
      </w:pPr>
    </w:p>
    <w:p>
      <w:pPr>
        <w:spacing w:after="160"/>
      </w:pPr>
      <w:r>
        <w:rPr>
          <w:i/>
          <w:sz w:val="18"/>
        </w:rPr>
        <w:t>Prepared from Exhibits 1 to 4. Model assumptions: 24.5% marginal tax rate; straight-line depreciation for tax and reporting; no salvage on the old equipment; no terminal value on the new equipment, which Exhibit 4 states will operate indefinitely; no change in net working capital, since packaging throughput is unchanged between the alternatives.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