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8FFD" w14:textId="77777777" w:rsidR="008605E0" w:rsidRDefault="008605E0" w:rsidP="008605E0">
      <w:pPr>
        <w:pStyle w:val="Title"/>
        <w:jc w:val="both"/>
        <w:rPr>
          <w:rFonts w:ascii="Times New Roman" w:hAnsi="Times New Roman" w:cs="Times New Roman"/>
          <w:sz w:val="44"/>
          <w:szCs w:val="44"/>
        </w:rPr>
      </w:pPr>
      <w:r w:rsidRPr="00F756A6">
        <w:rPr>
          <w:rFonts w:ascii="Times New Roman" w:hAnsi="Times New Roman" w:cs="Times New Roman"/>
          <w:sz w:val="44"/>
          <w:szCs w:val="44"/>
        </w:rPr>
        <w:t xml:space="preserve">PART </w:t>
      </w:r>
      <w:r>
        <w:rPr>
          <w:rFonts w:ascii="Times New Roman" w:hAnsi="Times New Roman" w:cs="Times New Roman"/>
          <w:sz w:val="44"/>
          <w:szCs w:val="44"/>
        </w:rPr>
        <w:t>X</w:t>
      </w:r>
      <w:r w:rsidRPr="00F756A6">
        <w:rPr>
          <w:rFonts w:ascii="Times New Roman" w:hAnsi="Times New Roman" w:cs="Times New Roman"/>
          <w:sz w:val="44"/>
          <w:szCs w:val="44"/>
        </w:rPr>
        <w:t xml:space="preserve"> – </w:t>
      </w:r>
      <w:r>
        <w:rPr>
          <w:rFonts w:ascii="Times New Roman" w:hAnsi="Times New Roman" w:cs="Times New Roman"/>
          <w:sz w:val="44"/>
          <w:szCs w:val="44"/>
        </w:rPr>
        <w:t>TITLE OF BOOK PART</w:t>
      </w:r>
    </w:p>
    <w:p w14:paraId="0351C3A4" w14:textId="77777777" w:rsidR="008605E0" w:rsidRDefault="008605E0" w:rsidP="008605E0">
      <w:pPr>
        <w:rPr>
          <w:lang w:eastAsia="en-US"/>
        </w:rPr>
      </w:pPr>
    </w:p>
    <w:p w14:paraId="72CB1F40" w14:textId="13177F19" w:rsidR="008605E0" w:rsidRPr="00F756A6" w:rsidRDefault="008605E0" w:rsidP="008605E0">
      <w:pPr>
        <w:rPr>
          <w:rFonts w:ascii="Times New Roman" w:hAnsi="Times New Roman" w:cs="Times New Roman"/>
          <w:sz w:val="40"/>
          <w:szCs w:val="40"/>
          <w:lang w:eastAsia="en-US"/>
        </w:rPr>
      </w:pPr>
      <w:r w:rsidRPr="00F756A6">
        <w:rPr>
          <w:rFonts w:ascii="Times New Roman" w:hAnsi="Times New Roman" w:cs="Times New Roman"/>
          <w:sz w:val="40"/>
          <w:szCs w:val="40"/>
          <w:lang w:eastAsia="en-US"/>
        </w:rPr>
        <w:t xml:space="preserve">CHAPTER </w:t>
      </w:r>
      <w:r>
        <w:rPr>
          <w:rFonts w:ascii="Times New Roman" w:hAnsi="Times New Roman" w:cs="Times New Roman"/>
          <w:sz w:val="40"/>
          <w:szCs w:val="40"/>
          <w:lang w:eastAsia="en-US"/>
        </w:rPr>
        <w:t>4</w:t>
      </w:r>
      <w:r w:rsidRPr="00F756A6">
        <w:rPr>
          <w:rFonts w:ascii="Times New Roman" w:hAnsi="Times New Roman" w:cs="Times New Roman"/>
          <w:sz w:val="40"/>
          <w:szCs w:val="40"/>
          <w:lang w:eastAsia="en-US"/>
        </w:rPr>
        <w:t xml:space="preserve">. </w:t>
      </w:r>
      <w:r>
        <w:rPr>
          <w:rFonts w:ascii="Times New Roman" w:hAnsi="Times New Roman" w:cs="Times New Roman"/>
          <w:sz w:val="40"/>
          <w:szCs w:val="40"/>
          <w:lang w:eastAsia="en-US"/>
        </w:rPr>
        <w:t>UNDERSTANDING SECURITY REQUIREMENTS GUIDES (SRGs) AND SECURITY TECHNICAL IMPLEMENTATION GUIDES (STIGs)</w:t>
      </w:r>
    </w:p>
    <w:p w14:paraId="6D94DC94" w14:textId="44614BED" w:rsidR="00BE5E6A" w:rsidRDefault="00000000" w:rsidP="008605E0">
      <w:pPr>
        <w:jc w:val="both"/>
        <w:rPr>
          <w:rFonts w:ascii="Times New Roman" w:hAnsi="Times New Roman" w:cs="Times New Roman"/>
          <w:b/>
          <w:bCs/>
          <w:color w:val="0E2841" w:themeColor="text2"/>
          <w:sz w:val="36"/>
          <w:szCs w:val="36"/>
        </w:rPr>
      </w:pPr>
      <w:r>
        <w:rPr>
          <w:rFonts w:ascii="Times New Roman" w:hAnsi="Times New Roman" w:cs="Times New Roman"/>
          <w:sz w:val="22"/>
          <w:szCs w:val="22"/>
        </w:rPr>
        <w:pict w14:anchorId="02DF1CD2">
          <v:rect id="_x0000_i1025" style="width:0;height:1.5pt" o:hralign="center" o:hrstd="t" o:hr="t" fillcolor="#a0a0a0" stroked="f"/>
        </w:pict>
      </w:r>
    </w:p>
    <w:p w14:paraId="757ACEB0" w14:textId="77720E20" w:rsidR="008605E0" w:rsidRPr="00F756A6" w:rsidRDefault="008605E0" w:rsidP="008605E0">
      <w:pPr>
        <w:jc w:val="both"/>
        <w:rPr>
          <w:rFonts w:ascii="Times New Roman" w:hAnsi="Times New Roman" w:cs="Times New Roman"/>
          <w:b/>
          <w:bCs/>
          <w:color w:val="0E2841" w:themeColor="text2"/>
          <w:sz w:val="36"/>
          <w:szCs w:val="36"/>
        </w:rPr>
      </w:pPr>
      <w:r w:rsidRPr="00F756A6">
        <w:rPr>
          <w:rFonts w:ascii="Times New Roman" w:hAnsi="Times New Roman" w:cs="Times New Roman"/>
          <w:b/>
          <w:bCs/>
          <w:color w:val="0E2841" w:themeColor="text2"/>
          <w:sz w:val="36"/>
          <w:szCs w:val="36"/>
        </w:rPr>
        <w:t>CHAPTER ABSTRACT</w:t>
      </w:r>
    </w:p>
    <w:p w14:paraId="03583133" w14:textId="6FFAD99F" w:rsidR="008605E0" w:rsidRDefault="008605E0" w:rsidP="008605E0">
      <w:pPr>
        <w:jc w:val="both"/>
        <w:rPr>
          <w:rFonts w:ascii="Times New Roman" w:hAnsi="Times New Roman" w:cs="Times New Roman"/>
          <w:sz w:val="22"/>
          <w:szCs w:val="22"/>
        </w:rPr>
      </w:pPr>
      <w:r>
        <w:rPr>
          <w:rFonts w:ascii="Times New Roman" w:hAnsi="Times New Roman" w:cs="Times New Roman"/>
          <w:sz w:val="22"/>
          <w:szCs w:val="22"/>
        </w:rPr>
        <w:t>Security Requirements Guides (SRGs) and Security Technical Implementation Guides (STIGs) serve as the primary mechanisms through which federal and military cybersecurity requirements are translated into enforceable technical security controls. While the Risk Management Framework (RMF) establishes the governance structure for properly managing cybersecurity risk, SRGs and STIGs provide the implementation standards used to secure information systems, identity infrastructure, and Command and Combatant mission-critical services throughout federal civilian agencies, military branches, defense contractors, and National Security Systems (NSS).</w:t>
      </w:r>
    </w:p>
    <w:p w14:paraId="743EBB33" w14:textId="56EF0EE6" w:rsidR="008605E0" w:rsidRDefault="008605E0" w:rsidP="008605E0">
      <w:pPr>
        <w:jc w:val="both"/>
        <w:rPr>
          <w:rFonts w:ascii="Times New Roman" w:hAnsi="Times New Roman" w:cs="Times New Roman"/>
          <w:sz w:val="22"/>
          <w:szCs w:val="22"/>
        </w:rPr>
      </w:pPr>
      <w:r>
        <w:rPr>
          <w:rFonts w:ascii="Times New Roman" w:hAnsi="Times New Roman" w:cs="Times New Roman"/>
          <w:sz w:val="22"/>
          <w:szCs w:val="22"/>
        </w:rPr>
        <w:t>Identity infrastructure occupies a uniquely important position within STIG-governed environments. Active Directory, Public Key Infrastructure (PKI), Active Directory Certificate Services (AD CS), Active Directory Federation Services (AD FS), Microsoft Entra ID, domain controllers, authentication services, and Privileged Access Management (PAM) systems frequently function as enterprise-wide security control providers upon which numerous information systems depend for secure coverage. As a result, weaknesses in identity infrastructure may create unforeseen inherited risk across multiple authorized boundaries that have potential to adversely affect Command and Combatant mission assurance, operational readiness, and organizational cybersecurity posture.</w:t>
      </w:r>
    </w:p>
    <w:p w14:paraId="3454489A" w14:textId="27187047" w:rsidR="008605E0" w:rsidRDefault="008605E0" w:rsidP="008605E0">
      <w:pPr>
        <w:jc w:val="both"/>
        <w:rPr>
          <w:rFonts w:ascii="Times New Roman" w:hAnsi="Times New Roman" w:cs="Times New Roman"/>
          <w:sz w:val="22"/>
          <w:szCs w:val="22"/>
        </w:rPr>
      </w:pPr>
      <w:r>
        <w:rPr>
          <w:rFonts w:ascii="Times New Roman" w:hAnsi="Times New Roman" w:cs="Times New Roman"/>
          <w:sz w:val="22"/>
          <w:szCs w:val="22"/>
        </w:rPr>
        <w:t>Chapter 4 examines the development, structure, purpose, implementation, assessment, and operational application of SRGs and STIGs within federal and military identity-centric environments. Readers will learn how SRGs establish overarching security requirements, how STIGs operationalize those requirements into technical configurations and implementations, and how compliance activities support RMF authorization objectives. Emphasis is placed on Active Directory security baselines, authentication control families, authorization control families, auditing requirements, PKI implementation, federation security, vulnerability categorization, assessment methodologies, and continuous monitoring activities.</w:t>
      </w:r>
    </w:p>
    <w:p w14:paraId="505F42CB" w14:textId="503EA2BB" w:rsidR="008605E0" w:rsidRDefault="008605E0" w:rsidP="008605E0">
      <w:pPr>
        <w:jc w:val="both"/>
        <w:rPr>
          <w:rFonts w:ascii="Times New Roman" w:hAnsi="Times New Roman" w:cs="Times New Roman"/>
          <w:sz w:val="22"/>
          <w:szCs w:val="22"/>
        </w:rPr>
      </w:pPr>
      <w:r>
        <w:rPr>
          <w:rFonts w:ascii="Times New Roman" w:hAnsi="Times New Roman" w:cs="Times New Roman"/>
          <w:sz w:val="22"/>
          <w:szCs w:val="22"/>
        </w:rPr>
        <w:t>Readers will also explore common identity-related findings, understand how CAT I, CAT II, and CAT III vulnerabilities influence authorization decisions, examine evidence and artifact collection and validation procedures, and learn how compliance requirements intersect with real-world cybersecurity operations. By understanding STIG and SRG implementation requirements as both a compliance activity and a security engineering discipline, readers will gain the ability to properly and confidently design, assess, secure, defend, and continuously monitor identity infrastructure operating within federal and military cybersecurity environments.</w:t>
      </w:r>
    </w:p>
    <w:p w14:paraId="7642B04A" w14:textId="77777777" w:rsidR="00BE5E6A" w:rsidRPr="00F756A6" w:rsidRDefault="00BE5E6A" w:rsidP="008605E0">
      <w:pPr>
        <w:jc w:val="both"/>
        <w:rPr>
          <w:rFonts w:ascii="Times New Roman" w:hAnsi="Times New Roman" w:cs="Times New Roman"/>
          <w:sz w:val="22"/>
          <w:szCs w:val="22"/>
        </w:rPr>
      </w:pPr>
    </w:p>
    <w:p w14:paraId="43F38760" w14:textId="5B67F993" w:rsidR="00BE5E6A" w:rsidRDefault="00000000" w:rsidP="008605E0">
      <w:pPr>
        <w:jc w:val="both"/>
        <w:rPr>
          <w:rFonts w:ascii="Times New Roman" w:hAnsi="Times New Roman" w:cs="Times New Roman"/>
          <w:b/>
          <w:bCs/>
          <w:color w:val="0E2841" w:themeColor="text2"/>
          <w:sz w:val="36"/>
          <w:szCs w:val="36"/>
        </w:rPr>
      </w:pPr>
      <w:r>
        <w:rPr>
          <w:rFonts w:ascii="Times New Roman" w:hAnsi="Times New Roman" w:cs="Times New Roman"/>
          <w:sz w:val="22"/>
          <w:szCs w:val="22"/>
        </w:rPr>
        <w:pict w14:anchorId="709D3E32">
          <v:rect id="_x0000_i1026" style="width:0;height:1.5pt" o:hralign="center" o:hrstd="t" o:hr="t" fillcolor="#a0a0a0" stroked="f"/>
        </w:pict>
      </w:r>
    </w:p>
    <w:p w14:paraId="69641D5C" w14:textId="4009684F" w:rsidR="008605E0" w:rsidRPr="004B1D4F" w:rsidRDefault="008605E0" w:rsidP="008605E0">
      <w:pPr>
        <w:jc w:val="both"/>
        <w:rPr>
          <w:rFonts w:ascii="Times New Roman" w:hAnsi="Times New Roman" w:cs="Times New Roman"/>
          <w:b/>
          <w:bCs/>
          <w:color w:val="0E2841" w:themeColor="text2"/>
          <w:sz w:val="36"/>
          <w:szCs w:val="36"/>
        </w:rPr>
      </w:pPr>
      <w:r w:rsidRPr="004B1D4F">
        <w:rPr>
          <w:rFonts w:ascii="Times New Roman" w:hAnsi="Times New Roman" w:cs="Times New Roman"/>
          <w:b/>
          <w:bCs/>
          <w:color w:val="0E2841" w:themeColor="text2"/>
          <w:sz w:val="36"/>
          <w:szCs w:val="36"/>
        </w:rPr>
        <w:t>LEARNING OBJECTIVES</w:t>
      </w:r>
    </w:p>
    <w:p w14:paraId="40C7363A" w14:textId="77777777" w:rsidR="008605E0" w:rsidRPr="004B1D4F" w:rsidRDefault="008605E0" w:rsidP="008605E0">
      <w:pPr>
        <w:jc w:val="both"/>
        <w:rPr>
          <w:rFonts w:ascii="Times New Roman" w:hAnsi="Times New Roman" w:cs="Times New Roman"/>
          <w:sz w:val="22"/>
          <w:szCs w:val="22"/>
        </w:rPr>
      </w:pPr>
      <w:r w:rsidRPr="004B1D4F">
        <w:rPr>
          <w:rFonts w:ascii="Times New Roman" w:hAnsi="Times New Roman" w:cs="Times New Roman"/>
          <w:sz w:val="22"/>
          <w:szCs w:val="22"/>
        </w:rPr>
        <w:t>Upon completion of this chapter, readers will be able to:</w:t>
      </w:r>
    </w:p>
    <w:p w14:paraId="357826D0" w14:textId="19CA7FEA" w:rsidR="008605E0" w:rsidRDefault="008605E0"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Explain the purpose and functions of Security Requirements Guides (SRGs) and Security Technical Implementation Guides (STIGs)</w:t>
      </w:r>
    </w:p>
    <w:p w14:paraId="14D66043" w14:textId="6FB5146C" w:rsidR="008605E0" w:rsidRDefault="008605E0"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Describe the relationship between RMF-based security controls, SRGs, and STIG implementation requirements.</w:t>
      </w:r>
    </w:p>
    <w:p w14:paraId="15D9D888" w14:textId="0C7CEB73" w:rsidR="008605E0" w:rsidRDefault="008605E0"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Differentiate between SRGs, STIGs, security baselines, and compliance assessment activities.</w:t>
      </w:r>
    </w:p>
    <w:p w14:paraId="450F24BE" w14:textId="2847B0CA" w:rsidR="008605E0" w:rsidRDefault="008605E0"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 xml:space="preserve">Understand the </w:t>
      </w:r>
      <w:r w:rsidR="00637E5D">
        <w:rPr>
          <w:rFonts w:ascii="Times New Roman" w:hAnsi="Times New Roman" w:cs="Times New Roman"/>
          <w:sz w:val="22"/>
          <w:szCs w:val="22"/>
        </w:rPr>
        <w:t>structure</w:t>
      </w:r>
      <w:r>
        <w:rPr>
          <w:rFonts w:ascii="Times New Roman" w:hAnsi="Times New Roman" w:cs="Times New Roman"/>
          <w:sz w:val="22"/>
          <w:szCs w:val="22"/>
        </w:rPr>
        <w:t xml:space="preserve"> and components of STIG findings, including vulnerability identifiers, rule identifiers, and Security Control Correlation Identifiers (CCIs)</w:t>
      </w:r>
      <w:r w:rsidR="00637E5D">
        <w:rPr>
          <w:rFonts w:ascii="Times New Roman" w:hAnsi="Times New Roman" w:cs="Times New Roman"/>
          <w:sz w:val="22"/>
          <w:szCs w:val="22"/>
        </w:rPr>
        <w:t>.</w:t>
      </w:r>
    </w:p>
    <w:p w14:paraId="3D05F5B7" w14:textId="0ADBAC06" w:rsidR="00637E5D" w:rsidRDefault="00637E5D"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Explain CAT I, CAT II, and CAT III vulnerability classifications and associated Command and Combatant mission risks.</w:t>
      </w:r>
    </w:p>
    <w:p w14:paraId="7B094DCC" w14:textId="1019B2B3" w:rsidR="00637E5D" w:rsidRDefault="00637E5D"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Implement identity-centric security controls within Active Directory, PKI, AD CS, AD FS, and related authenticating infrastructure.</w:t>
      </w:r>
    </w:p>
    <w:p w14:paraId="439FD7E3" w14:textId="6FA8B120" w:rsidR="00637E5D" w:rsidRDefault="00637E5D"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Identify common federal and military Active Directory STIG findings and associated security threats and risks.</w:t>
      </w:r>
    </w:p>
    <w:p w14:paraId="5641F8AA" w14:textId="13176AD8" w:rsidR="00637E5D" w:rsidRDefault="00637E5D"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Understand STIG assessment methodologies, evidence and artifact collection requirements, and validation procedures leading to potential ATO.</w:t>
      </w:r>
    </w:p>
    <w:p w14:paraId="30213274" w14:textId="7166AFCA" w:rsidR="00637E5D" w:rsidRDefault="00637E5D"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Explain how compliance findings influence RMF authorization decisions from AOs, POA&amp;M development, and continuous monitoring activities.</w:t>
      </w:r>
    </w:p>
    <w:p w14:paraId="4C0EF0BA" w14:textId="1F100E40" w:rsidR="00637E5D" w:rsidRPr="004B1D4F" w:rsidRDefault="00637E5D" w:rsidP="008605E0">
      <w:pPr>
        <w:pStyle w:val="ListParagraph"/>
        <w:numPr>
          <w:ilvl w:val="0"/>
          <w:numId w:val="1"/>
        </w:numPr>
        <w:spacing w:line="278" w:lineRule="auto"/>
        <w:jc w:val="both"/>
        <w:rPr>
          <w:rFonts w:ascii="Times New Roman" w:hAnsi="Times New Roman" w:cs="Times New Roman"/>
          <w:sz w:val="22"/>
          <w:szCs w:val="22"/>
        </w:rPr>
      </w:pPr>
      <w:r>
        <w:rPr>
          <w:rFonts w:ascii="Times New Roman" w:hAnsi="Times New Roman" w:cs="Times New Roman"/>
          <w:sz w:val="22"/>
          <w:szCs w:val="22"/>
        </w:rPr>
        <w:t>Apply STIG implementation principles to real-world federal and military identity infrastructure.</w:t>
      </w:r>
    </w:p>
    <w:p w14:paraId="5D75C7F0" w14:textId="3775DF6F" w:rsidR="008605E0" w:rsidRPr="00BE5E6A" w:rsidRDefault="00000000" w:rsidP="00BE5E6A">
      <w:pPr>
        <w:spacing w:line="278" w:lineRule="auto"/>
        <w:jc w:val="both"/>
        <w:rPr>
          <w:rFonts w:ascii="Times New Roman" w:hAnsi="Times New Roman" w:cs="Times New Roman"/>
          <w:sz w:val="22"/>
          <w:szCs w:val="22"/>
        </w:rPr>
      </w:pPr>
      <w:r>
        <w:rPr>
          <w:rFonts w:ascii="Times New Roman" w:hAnsi="Times New Roman" w:cs="Times New Roman"/>
          <w:sz w:val="22"/>
          <w:szCs w:val="22"/>
        </w:rPr>
        <w:pict w14:anchorId="20D21B81">
          <v:rect id="_x0000_i1027" style="width:0;height:1.5pt" o:hralign="center" o:hrstd="t" o:hr="t" fillcolor="#a0a0a0" stroked="f"/>
        </w:pict>
      </w:r>
    </w:p>
    <w:p w14:paraId="0A841BE1" w14:textId="77777777" w:rsidR="008605E0" w:rsidRPr="004B1D4F" w:rsidRDefault="008605E0" w:rsidP="008605E0">
      <w:pPr>
        <w:jc w:val="both"/>
        <w:rPr>
          <w:rFonts w:ascii="Times New Roman" w:hAnsi="Times New Roman" w:cs="Times New Roman"/>
          <w:b/>
          <w:bCs/>
          <w:color w:val="0E2841" w:themeColor="text2"/>
          <w:sz w:val="36"/>
          <w:szCs w:val="36"/>
        </w:rPr>
      </w:pPr>
      <w:r w:rsidRPr="004B1D4F">
        <w:rPr>
          <w:rFonts w:ascii="Times New Roman" w:hAnsi="Times New Roman" w:cs="Times New Roman"/>
          <w:b/>
          <w:bCs/>
          <w:color w:val="0E2841" w:themeColor="text2"/>
          <w:sz w:val="36"/>
          <w:szCs w:val="36"/>
        </w:rPr>
        <w:t>CHAPTER STRUCTURE</w:t>
      </w:r>
    </w:p>
    <w:p w14:paraId="092E4A7A" w14:textId="608DDB2F" w:rsidR="008605E0" w:rsidRPr="004B1D4F" w:rsidRDefault="00637E5D" w:rsidP="008605E0">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4</w:t>
      </w:r>
      <w:r w:rsidR="008605E0">
        <w:rPr>
          <w:rFonts w:ascii="Times New Roman" w:hAnsi="Times New Roman" w:cs="Times New Roman"/>
          <w:b/>
          <w:bCs/>
          <w:color w:val="0F9ED5" w:themeColor="accent4"/>
          <w:sz w:val="28"/>
          <w:szCs w:val="28"/>
        </w:rPr>
        <w:t>.</w:t>
      </w:r>
      <w:r>
        <w:rPr>
          <w:rFonts w:ascii="Times New Roman" w:hAnsi="Times New Roman" w:cs="Times New Roman"/>
          <w:b/>
          <w:bCs/>
          <w:color w:val="0F9ED5" w:themeColor="accent4"/>
          <w:sz w:val="28"/>
          <w:szCs w:val="28"/>
        </w:rPr>
        <w:t>1</w:t>
      </w:r>
      <w:r w:rsidR="008605E0"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Understanding Security Requirements Guides (SRGs) and Security Technical Implementation Guides (STIGs)</w:t>
      </w:r>
    </w:p>
    <w:p w14:paraId="72CCBD47"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4.1.1 Evolution of Federal and Military Security Configuration Standards</w:t>
      </w:r>
    </w:p>
    <w:p w14:paraId="33863D69"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4.1.2 Origins of Security Requirements Guides (SRGs)</w:t>
      </w:r>
    </w:p>
    <w:p w14:paraId="3FEEBF49"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4.1.3 Origins of Security Technical Implementation Guides (STIGs)</w:t>
      </w:r>
    </w:p>
    <w:p w14:paraId="452D1AB4"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4.1.4 Relationship Between RMF, SRGs, and STIGs</w:t>
      </w:r>
    </w:p>
    <w:p w14:paraId="6E66344B"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4.1.5 Why STIGs Exist</w:t>
      </w:r>
    </w:p>
    <w:p w14:paraId="61F11755"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4.1.6 Security Standardization Across Federal and Military Enterprises</w:t>
      </w:r>
    </w:p>
    <w:p w14:paraId="7918FBE8"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4.1.7 STIGs as Risk Reduction Mechanisms</w:t>
      </w:r>
    </w:p>
    <w:p w14:paraId="4E84DFED"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lastRenderedPageBreak/>
        <w:t>4.1.8 Why STIGs Matter to Active Directory Security Engineers and Enterprise Defenders</w:t>
      </w:r>
    </w:p>
    <w:p w14:paraId="5A8F6F9F"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12160BBB">
          <v:rect id="_x0000_i1028" style="width:0;height:1.5pt" o:hralign="center" o:hrstd="t" o:hr="t" fillcolor="#a0a0a0" stroked="f"/>
        </w:pict>
      </w:r>
    </w:p>
    <w:p w14:paraId="77FA5370" w14:textId="307A0785" w:rsidR="00637E5D" w:rsidRDefault="00637E5D" w:rsidP="00637E5D">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4.2</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STIG Governance and Oversight</w:t>
      </w:r>
    </w:p>
    <w:p w14:paraId="7738010B"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4.2.1 Defense Information Systems Agency (DISA)</w:t>
      </w:r>
    </w:p>
    <w:p w14:paraId="3A8CFD94"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4.2.2 Department of Defense Chief Information Officer (DoD CIO)</w:t>
      </w:r>
    </w:p>
    <w:p w14:paraId="4DE8F6E6"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4.2.3 National Institute of Standards and Technology (NIST)</w:t>
      </w:r>
    </w:p>
    <w:p w14:paraId="7D54B11D"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4.2.4 Federal Information Security Modernization Act (FISMA)</w:t>
      </w:r>
    </w:p>
    <w:p w14:paraId="351BA464"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4.2.5 Security Control Assessors (SCAs)</w:t>
      </w:r>
    </w:p>
    <w:p w14:paraId="007E57BD"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4.2.6 Authorizing Officials (AOs)</w:t>
      </w:r>
    </w:p>
    <w:p w14:paraId="09F8A51C"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4.2.7 Information Systems Security Managers (ISSMs)</w:t>
      </w:r>
    </w:p>
    <w:p w14:paraId="22E2E689"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4.2.8 Information Systems Security Officers (ISSOs)</w:t>
      </w:r>
    </w:p>
    <w:p w14:paraId="75B2E00F"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4.2.9 Active Directory Security Engineers and Administrators</w:t>
      </w:r>
    </w:p>
    <w:p w14:paraId="6A4A902D"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4.2.10 Common Control Providers</w:t>
      </w:r>
    </w:p>
    <w:p w14:paraId="498A0628"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464C4676">
          <v:rect id="_x0000_i1029" style="width:0;height:1.5pt" o:hralign="center" o:hrstd="t" o:hr="t" fillcolor="#a0a0a0" stroked="f"/>
        </w:pict>
      </w:r>
    </w:p>
    <w:p w14:paraId="33769AA7" w14:textId="000938FB" w:rsidR="004744CD" w:rsidRDefault="004744CD" w:rsidP="004744CD">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4.3</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Security Requirements Guides (SRGs)</w:t>
      </w:r>
    </w:p>
    <w:p w14:paraId="62A427C9"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4.3.1 Purpose of Security Requirements Guides</w:t>
      </w:r>
    </w:p>
    <w:p w14:paraId="4E9725E2"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4.3.2 SRG Hierarchy and Structure</w:t>
      </w:r>
    </w:p>
    <w:p w14:paraId="17951D1B"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4.3.3 Mapping SRGs to NIST SP 800-53 Controls</w:t>
      </w:r>
    </w:p>
    <w:p w14:paraId="4E8A4BA8"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4.3.4 Control Inheritance Concepts</w:t>
      </w:r>
    </w:p>
    <w:p w14:paraId="2A854460"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4.3.5 SRGs Within RMF Authorized Environments</w:t>
      </w:r>
    </w:p>
    <w:p w14:paraId="559CD045"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4.3.6 Identity-Related Security Requirements</w:t>
      </w:r>
    </w:p>
    <w:p w14:paraId="7BEEC626"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4.3.7 Authentication Security Requirements</w:t>
      </w:r>
    </w:p>
    <w:p w14:paraId="12348CE7"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4.3.8 Authorization Security Requirements</w:t>
      </w:r>
    </w:p>
    <w:p w14:paraId="050E3F61" w14:textId="77777777" w:rsidR="009733E2" w:rsidRPr="004744CD" w:rsidRDefault="009733E2" w:rsidP="00BE5E6A">
      <w:pPr>
        <w:ind w:left="720"/>
        <w:jc w:val="both"/>
        <w:rPr>
          <w:rFonts w:ascii="Times New Roman" w:hAnsi="Times New Roman" w:cs="Times New Roman"/>
          <w:sz w:val="22"/>
          <w:szCs w:val="22"/>
        </w:rPr>
      </w:pPr>
      <w:r w:rsidRPr="004744CD">
        <w:rPr>
          <w:rFonts w:ascii="Times New Roman" w:hAnsi="Times New Roman" w:cs="Times New Roman"/>
          <w:sz w:val="22"/>
          <w:szCs w:val="22"/>
        </w:rPr>
        <w:t>4.3.9 Auditing and Accountability Requirements</w:t>
      </w:r>
    </w:p>
    <w:p w14:paraId="0EA22E54"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4.3.10 Configuration Management Requirements</w:t>
      </w:r>
    </w:p>
    <w:p w14:paraId="7ED807EE"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4811818F">
          <v:rect id="_x0000_i1030" style="width:0;height:1.5pt" o:hralign="center" o:hrstd="t" o:hr="t" fillcolor="#a0a0a0" stroked="f"/>
        </w:pict>
      </w:r>
    </w:p>
    <w:p w14:paraId="1AD7B52F" w14:textId="27E54D54" w:rsidR="004744CD" w:rsidRDefault="004744CD" w:rsidP="004744CD">
      <w:pPr>
        <w:jc w:val="both"/>
        <w:rPr>
          <w:rFonts w:ascii="Times New Roman" w:hAnsi="Times New Roman" w:cs="Times New Roman"/>
          <w:b/>
          <w:bCs/>
          <w:color w:val="0F9ED5" w:themeColor="accent4"/>
          <w:sz w:val="28"/>
          <w:szCs w:val="28"/>
        </w:rPr>
      </w:pPr>
      <w:r>
        <w:rPr>
          <w:rFonts w:ascii="Times New Roman" w:hAnsi="Times New Roman" w:cs="Times New Roman"/>
          <w:b/>
          <w:bCs/>
          <w:color w:val="0F9ED5" w:themeColor="accent4"/>
          <w:sz w:val="28"/>
          <w:szCs w:val="28"/>
        </w:rPr>
        <w:t>4.4</w:t>
      </w:r>
      <w:r w:rsidRPr="004B1D4F">
        <w:rPr>
          <w:rFonts w:ascii="Times New Roman" w:hAnsi="Times New Roman" w:cs="Times New Roman"/>
          <w:b/>
          <w:bCs/>
          <w:color w:val="0F9ED5" w:themeColor="accent4"/>
          <w:sz w:val="28"/>
          <w:szCs w:val="28"/>
        </w:rPr>
        <w:t xml:space="preserve"> </w:t>
      </w:r>
      <w:r>
        <w:rPr>
          <w:rFonts w:ascii="Times New Roman" w:hAnsi="Times New Roman" w:cs="Times New Roman"/>
          <w:b/>
          <w:bCs/>
          <w:color w:val="0F9ED5" w:themeColor="accent4"/>
          <w:sz w:val="28"/>
          <w:szCs w:val="28"/>
        </w:rPr>
        <w:t>Understanding STIG Architecture and Components</w:t>
      </w:r>
    </w:p>
    <w:p w14:paraId="2575D1A0"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4.4.1 STIG Rule Structure</w:t>
      </w:r>
    </w:p>
    <w:p w14:paraId="33F7AFF5"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lastRenderedPageBreak/>
        <w:t>4.4.2 Vulnerability Identifiers (V-IDs)</w:t>
      </w:r>
    </w:p>
    <w:p w14:paraId="402612C2"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4.4.3 Rule Identifiers (Rule IDs)</w:t>
      </w:r>
    </w:p>
    <w:p w14:paraId="0FAA84A1"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4.4.4 Security Control Correlation Identifiers (CCIs)</w:t>
      </w:r>
    </w:p>
    <w:p w14:paraId="1BAEDA66"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4.4.5 NIST SP 800-53 Control Mappings</w:t>
      </w:r>
    </w:p>
    <w:p w14:paraId="1DFD4097"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4.4.6 Vulnerability Discussions</w:t>
      </w:r>
    </w:p>
    <w:p w14:paraId="17A3A9EA"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4.4.7 Check Procedures</w:t>
      </w:r>
    </w:p>
    <w:p w14:paraId="7CBA2D4D"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4.4.8 Fix Procedures</w:t>
      </w:r>
    </w:p>
    <w:p w14:paraId="0D68E520"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4.4.9 Mitigations and Risk Acceptance</w:t>
      </w:r>
    </w:p>
    <w:p w14:paraId="0C2AC3BC" w14:textId="77777777" w:rsidR="009733E2" w:rsidRPr="004744CD" w:rsidRDefault="009733E2" w:rsidP="00BE5E6A">
      <w:pPr>
        <w:ind w:firstLine="720"/>
        <w:jc w:val="both"/>
        <w:rPr>
          <w:rFonts w:ascii="Times New Roman" w:hAnsi="Times New Roman" w:cs="Times New Roman"/>
          <w:sz w:val="22"/>
          <w:szCs w:val="22"/>
        </w:rPr>
      </w:pPr>
      <w:r w:rsidRPr="004744CD">
        <w:rPr>
          <w:rFonts w:ascii="Times New Roman" w:hAnsi="Times New Roman" w:cs="Times New Roman"/>
          <w:sz w:val="22"/>
          <w:szCs w:val="22"/>
        </w:rPr>
        <w:t>4.4.10 Severity Categories and Risk Prioritization</w:t>
      </w:r>
    </w:p>
    <w:p w14:paraId="5FA3C53B"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51B19A35">
          <v:rect id="_x0000_i1031" style="width:0;height:1.5pt" o:hralign="center" o:hrstd="t" o:hr="t" fillcolor="#a0a0a0" stroked="f"/>
        </w:pict>
      </w:r>
    </w:p>
    <w:p w14:paraId="14529F7A" w14:textId="77777777" w:rsidR="004744CD" w:rsidRPr="004744CD" w:rsidRDefault="004744CD" w:rsidP="004744CD">
      <w:pPr>
        <w:jc w:val="both"/>
        <w:rPr>
          <w:rFonts w:ascii="Times New Roman" w:hAnsi="Times New Roman" w:cs="Times New Roman"/>
          <w:b/>
          <w:bCs/>
          <w:color w:val="0F9ED5" w:themeColor="accent4"/>
          <w:sz w:val="28"/>
          <w:szCs w:val="28"/>
        </w:rPr>
      </w:pPr>
      <w:r w:rsidRPr="004744CD">
        <w:rPr>
          <w:rFonts w:ascii="Times New Roman" w:hAnsi="Times New Roman" w:cs="Times New Roman"/>
          <w:b/>
          <w:bCs/>
          <w:color w:val="0F9ED5" w:themeColor="accent4"/>
          <w:sz w:val="28"/>
          <w:szCs w:val="28"/>
        </w:rPr>
        <w:t>4.5 CAT I, CAT II, and CAT III Findings</w:t>
      </w:r>
    </w:p>
    <w:p w14:paraId="0B367288"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4.5.1 Understanding Severity Classifications</w:t>
      </w:r>
    </w:p>
    <w:p w14:paraId="42D48361"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4.5.2 CAT I Findings</w:t>
      </w:r>
    </w:p>
    <w:p w14:paraId="6DC0EE03"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4.5.3 CAT II Findings</w:t>
      </w:r>
    </w:p>
    <w:p w14:paraId="1D77D7C3"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4.5.4 CAT III Findings</w:t>
      </w:r>
    </w:p>
    <w:p w14:paraId="199D124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4.5.5 Mission Impact of STIG Findings</w:t>
      </w:r>
    </w:p>
    <w:p w14:paraId="39D22D37"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4.5.6 Risk Acceptance Considerations</w:t>
      </w:r>
    </w:p>
    <w:p w14:paraId="4F1D7C8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4.5.7 POA&amp;M Development Requirements</w:t>
      </w:r>
    </w:p>
    <w:p w14:paraId="393E65C9"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4.5.8 Common Identity-Related STIG Findings</w:t>
      </w:r>
    </w:p>
    <w:p w14:paraId="29D3B2B4"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39FF1E34">
          <v:rect id="_x0000_i1032" style="width:0;height:1.5pt" o:hralign="center" o:hrstd="t" o:hr="t" fillcolor="#a0a0a0" stroked="f"/>
        </w:pict>
      </w:r>
    </w:p>
    <w:p w14:paraId="6D2CB691" w14:textId="77777777" w:rsidR="004744CD" w:rsidRPr="004744CD" w:rsidRDefault="00000000" w:rsidP="004744CD">
      <w:pPr>
        <w:jc w:val="both"/>
        <w:rPr>
          <w:rFonts w:ascii="Times New Roman" w:hAnsi="Times New Roman" w:cs="Times New Roman"/>
          <w:sz w:val="22"/>
          <w:szCs w:val="22"/>
        </w:rPr>
      </w:pPr>
      <w:r>
        <w:rPr>
          <w:rFonts w:ascii="Times New Roman" w:hAnsi="Times New Roman" w:cs="Times New Roman"/>
          <w:sz w:val="22"/>
          <w:szCs w:val="22"/>
        </w:rPr>
        <w:pict w14:anchorId="0DDA9A03">
          <v:rect id="_x0000_i1033" style="width:0;height:1.5pt" o:hralign="center" o:hrstd="t" o:hr="t" fillcolor="#a0a0a0" stroked="f"/>
        </w:pict>
      </w:r>
    </w:p>
    <w:p w14:paraId="19AEB3AD" w14:textId="77777777" w:rsidR="009733E2" w:rsidRPr="009733E2" w:rsidRDefault="009733E2" w:rsidP="009733E2">
      <w:pPr>
        <w:jc w:val="both"/>
        <w:rPr>
          <w:rFonts w:ascii="Times New Roman" w:hAnsi="Times New Roman" w:cs="Times New Roman"/>
          <w:b/>
          <w:bCs/>
          <w:color w:val="0F9ED5" w:themeColor="accent4"/>
          <w:sz w:val="28"/>
          <w:szCs w:val="28"/>
        </w:rPr>
      </w:pPr>
      <w:r w:rsidRPr="009733E2">
        <w:rPr>
          <w:rFonts w:ascii="Times New Roman" w:hAnsi="Times New Roman" w:cs="Times New Roman"/>
          <w:b/>
          <w:bCs/>
          <w:color w:val="0F9ED5" w:themeColor="accent4"/>
          <w:sz w:val="28"/>
          <w:szCs w:val="28"/>
        </w:rPr>
        <w:t>4.6 Applying STIGs to Active Directory Environments</w:t>
      </w:r>
    </w:p>
    <w:p w14:paraId="5E2FABD1"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4.6.1 Active Directory as a Security Control Provider</w:t>
      </w:r>
    </w:p>
    <w:p w14:paraId="65DF6510"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4.6.2 Domain Controller Security Baselines</w:t>
      </w:r>
    </w:p>
    <w:p w14:paraId="4635057B"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4.6.3 Administrative Workstation Security Baselines</w:t>
      </w:r>
    </w:p>
    <w:p w14:paraId="7B20246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4.6.4 Active Directory Organizational Unit (OU) Security</w:t>
      </w:r>
    </w:p>
    <w:p w14:paraId="1B20C89A"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4.6.5 Group Policy Security Configuration Requirements</w:t>
      </w:r>
    </w:p>
    <w:p w14:paraId="53BC7F4E"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4.6.6 Active Directory Trust Security Requirements</w:t>
      </w:r>
    </w:p>
    <w:p w14:paraId="016CB87E"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lastRenderedPageBreak/>
        <w:t>4.6.7 LDAP and LDAPS Security Requirements</w:t>
      </w:r>
    </w:p>
    <w:p w14:paraId="42EE757E"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4.6.8 Kerberos Security Configuration Requirements</w:t>
      </w:r>
    </w:p>
    <w:p w14:paraId="511E33B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4.6.9 NTLM Reduction and Elimination Strategies</w:t>
      </w:r>
    </w:p>
    <w:p w14:paraId="0EB21F90"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4.6.10 Active Directory Replication Security Requirements</w:t>
      </w:r>
    </w:p>
    <w:p w14:paraId="6271A05E"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11564864">
          <v:rect id="_x0000_i1034" style="width:0;height:1.5pt" o:hralign="center" o:hrstd="t" o:hr="t" fillcolor="#a0a0a0" stroked="f"/>
        </w:pict>
      </w:r>
    </w:p>
    <w:p w14:paraId="3C2213CF" w14:textId="77777777" w:rsidR="009733E2" w:rsidRPr="009733E2" w:rsidRDefault="009733E2" w:rsidP="009733E2">
      <w:pPr>
        <w:jc w:val="both"/>
        <w:rPr>
          <w:rFonts w:ascii="Times New Roman" w:hAnsi="Times New Roman" w:cs="Times New Roman"/>
          <w:b/>
          <w:bCs/>
          <w:color w:val="0F9ED5" w:themeColor="accent4"/>
          <w:sz w:val="28"/>
          <w:szCs w:val="28"/>
        </w:rPr>
      </w:pPr>
      <w:r w:rsidRPr="009733E2">
        <w:rPr>
          <w:rFonts w:ascii="Times New Roman" w:hAnsi="Times New Roman" w:cs="Times New Roman"/>
          <w:b/>
          <w:bCs/>
          <w:color w:val="0F9ED5" w:themeColor="accent4"/>
          <w:sz w:val="28"/>
          <w:szCs w:val="28"/>
        </w:rPr>
        <w:t>4.7 Implementing Identity-Centric Security Controls Through STIGs</w:t>
      </w:r>
    </w:p>
    <w:p w14:paraId="025EC7FE"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4.7.1 Authentication Controls</w:t>
      </w:r>
    </w:p>
    <w:p w14:paraId="092AFBF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4.7.2 Authorization Controls</w:t>
      </w:r>
    </w:p>
    <w:p w14:paraId="51102DE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4.7.3 Privileged Access Controls</w:t>
      </w:r>
    </w:p>
    <w:p w14:paraId="74BD260F"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4.7.4 Account Management Controls</w:t>
      </w:r>
    </w:p>
    <w:p w14:paraId="1769FEBE"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4.7.5 Service Account Security Controls</w:t>
      </w:r>
    </w:p>
    <w:p w14:paraId="585E8B13"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4.7.6 Audit Logging Controls</w:t>
      </w:r>
    </w:p>
    <w:p w14:paraId="3E0A3FC1"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4.7.7 Configuration Management Controls</w:t>
      </w:r>
    </w:p>
    <w:p w14:paraId="2A3C9F83"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4.7.8 Remote Administration Controls</w:t>
      </w:r>
    </w:p>
    <w:p w14:paraId="72C03A9B"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4.7.9 Endpoint Security Controls</w:t>
      </w:r>
    </w:p>
    <w:p w14:paraId="53953A3A"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4.7.10 Hybrid Identity Security Controls</w:t>
      </w:r>
    </w:p>
    <w:p w14:paraId="1EE7AEE5"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3623D495">
          <v:rect id="_x0000_i1035" style="width:0;height:1.5pt" o:hralign="center" o:hrstd="t" o:hr="t" fillcolor="#a0a0a0" stroked="f"/>
        </w:pict>
      </w:r>
    </w:p>
    <w:p w14:paraId="392D4947" w14:textId="77777777" w:rsidR="009733E2" w:rsidRPr="009733E2" w:rsidRDefault="009733E2" w:rsidP="009733E2">
      <w:pPr>
        <w:jc w:val="both"/>
        <w:rPr>
          <w:rFonts w:ascii="Times New Roman" w:hAnsi="Times New Roman" w:cs="Times New Roman"/>
          <w:b/>
          <w:bCs/>
          <w:color w:val="0F9ED5" w:themeColor="accent4"/>
          <w:sz w:val="28"/>
          <w:szCs w:val="28"/>
        </w:rPr>
      </w:pPr>
      <w:r w:rsidRPr="009733E2">
        <w:rPr>
          <w:rFonts w:ascii="Times New Roman" w:hAnsi="Times New Roman" w:cs="Times New Roman"/>
          <w:b/>
          <w:bCs/>
          <w:color w:val="0F9ED5" w:themeColor="accent4"/>
          <w:sz w:val="28"/>
          <w:szCs w:val="28"/>
        </w:rPr>
        <w:t>4.8 STIGs for Public Key Infrastructure (PKI) and Active Directory Certificate Services (AD CS)</w:t>
      </w:r>
    </w:p>
    <w:p w14:paraId="19610A94"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4.8.1 PKI Security Foundations</w:t>
      </w:r>
    </w:p>
    <w:p w14:paraId="3ADF84D1"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4.8.2 Certificate Authority Security Requirements</w:t>
      </w:r>
    </w:p>
    <w:p w14:paraId="2BF7107B"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4.8.3 Certificate Lifecycle Management Requirements</w:t>
      </w:r>
    </w:p>
    <w:p w14:paraId="40400E4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4.8.4 Certificate Template Security Controls</w:t>
      </w:r>
    </w:p>
    <w:p w14:paraId="746FD011"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4.8.5 Enrollment Security Controls</w:t>
      </w:r>
    </w:p>
    <w:p w14:paraId="008E1111"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4.8.6 Certificate Revocation Requirements</w:t>
      </w:r>
    </w:p>
    <w:p w14:paraId="65317A70"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4.8.7 Common AD CS Misconfigurations</w:t>
      </w:r>
    </w:p>
    <w:p w14:paraId="3632FC8C"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4.8.8 Mission Impact of Certificate Authority Compromise</w:t>
      </w:r>
    </w:p>
    <w:p w14:paraId="5D0F4E57"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179F3112">
          <v:rect id="_x0000_i1036" style="width:0;height:1.5pt" o:hralign="center" o:hrstd="t" o:hr="t" fillcolor="#a0a0a0" stroked="f"/>
        </w:pict>
      </w:r>
    </w:p>
    <w:p w14:paraId="2F3D4463" w14:textId="77777777" w:rsidR="009733E2" w:rsidRPr="009733E2" w:rsidRDefault="009733E2" w:rsidP="009733E2">
      <w:pPr>
        <w:jc w:val="both"/>
        <w:rPr>
          <w:rFonts w:ascii="Times New Roman" w:hAnsi="Times New Roman" w:cs="Times New Roman"/>
          <w:b/>
          <w:bCs/>
          <w:color w:val="0F9ED5" w:themeColor="accent4"/>
          <w:sz w:val="28"/>
          <w:szCs w:val="28"/>
        </w:rPr>
      </w:pPr>
      <w:r w:rsidRPr="009733E2">
        <w:rPr>
          <w:rFonts w:ascii="Times New Roman" w:hAnsi="Times New Roman" w:cs="Times New Roman"/>
          <w:b/>
          <w:bCs/>
          <w:color w:val="0F9ED5" w:themeColor="accent4"/>
          <w:sz w:val="28"/>
          <w:szCs w:val="28"/>
        </w:rPr>
        <w:lastRenderedPageBreak/>
        <w:t>4.9 STIGs for Federation and Active Directory Federation Services (AD FS)</w:t>
      </w:r>
    </w:p>
    <w:p w14:paraId="5C754934"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4.9.1 Federation Security Concepts</w:t>
      </w:r>
    </w:p>
    <w:p w14:paraId="1A86356C"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4.9.2 Trust Relationships and Security Requirements</w:t>
      </w:r>
    </w:p>
    <w:p w14:paraId="29BC286F"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4.9.3 Token Security Requirements</w:t>
      </w:r>
    </w:p>
    <w:p w14:paraId="3267E6A5"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4.9.4 Claims-Based Authentication Security</w:t>
      </w:r>
    </w:p>
    <w:p w14:paraId="570803E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4.9.5 AD FS Security Baselines</w:t>
      </w:r>
    </w:p>
    <w:p w14:paraId="6989DAED"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4.9.6 Federation Logging Requirements</w:t>
      </w:r>
    </w:p>
    <w:p w14:paraId="68A0B087"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4.9.7 Common Federation Vulnerabilities</w:t>
      </w:r>
    </w:p>
    <w:p w14:paraId="77A12399"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4.9.8 Mission Impact of Federation Compromise</w:t>
      </w:r>
    </w:p>
    <w:p w14:paraId="7BDFAEBF"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512A4A51">
          <v:rect id="_x0000_i1037" style="width:0;height:1.5pt" o:hralign="center" o:hrstd="t" o:hr="t" fillcolor="#a0a0a0" stroked="f"/>
        </w:pict>
      </w:r>
    </w:p>
    <w:p w14:paraId="4F3FD37E" w14:textId="77777777" w:rsidR="009733E2" w:rsidRPr="009733E2" w:rsidRDefault="009733E2" w:rsidP="009733E2">
      <w:pPr>
        <w:jc w:val="both"/>
        <w:rPr>
          <w:rFonts w:ascii="Times New Roman" w:hAnsi="Times New Roman" w:cs="Times New Roman"/>
          <w:b/>
          <w:bCs/>
          <w:color w:val="0F9ED5" w:themeColor="accent4"/>
          <w:sz w:val="28"/>
          <w:szCs w:val="28"/>
        </w:rPr>
      </w:pPr>
      <w:r w:rsidRPr="009733E2">
        <w:rPr>
          <w:rFonts w:ascii="Times New Roman" w:hAnsi="Times New Roman" w:cs="Times New Roman"/>
          <w:b/>
          <w:bCs/>
          <w:color w:val="0F9ED5" w:themeColor="accent4"/>
          <w:sz w:val="28"/>
          <w:szCs w:val="28"/>
        </w:rPr>
        <w:t>4.10 Assessing STIG Compliance</w:t>
      </w:r>
    </w:p>
    <w:p w14:paraId="5EA15739"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4.10.1 Security Compliance Validation Methodologies</w:t>
      </w:r>
    </w:p>
    <w:p w14:paraId="6E9C065D"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4.10.2 Security Content Automation Protocol (SCAP)</w:t>
      </w:r>
    </w:p>
    <w:p w14:paraId="72AD03C3"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4.10.3 STIG Viewer</w:t>
      </w:r>
    </w:p>
    <w:p w14:paraId="727631EB"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4.10.4 Automated Compliance Assessment Tools</w:t>
      </w:r>
    </w:p>
    <w:p w14:paraId="3B65FBBC"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4.10.5 Evidence Collection Procedures</w:t>
      </w:r>
    </w:p>
    <w:p w14:paraId="52771C69"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4.10.6 Artifact Generation Requirements</w:t>
      </w:r>
    </w:p>
    <w:p w14:paraId="3E89BC11"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4.10.7 Assessor Validation Activities</w:t>
      </w:r>
    </w:p>
    <w:p w14:paraId="45009C6F"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4.10.8 Remediation Verification Procedures</w:t>
      </w:r>
    </w:p>
    <w:p w14:paraId="437E3A5F"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5E71E9E7">
          <v:rect id="_x0000_i1038" style="width:0;height:1.5pt" o:hralign="center" o:hrstd="t" o:hr="t" fillcolor="#a0a0a0" stroked="f"/>
        </w:pict>
      </w:r>
    </w:p>
    <w:p w14:paraId="5C922581" w14:textId="77777777" w:rsidR="009733E2" w:rsidRPr="009733E2" w:rsidRDefault="009733E2" w:rsidP="009733E2">
      <w:pPr>
        <w:jc w:val="both"/>
        <w:rPr>
          <w:rFonts w:ascii="Times New Roman" w:hAnsi="Times New Roman" w:cs="Times New Roman"/>
          <w:b/>
          <w:bCs/>
          <w:color w:val="0F9ED5" w:themeColor="accent4"/>
          <w:sz w:val="28"/>
          <w:szCs w:val="28"/>
        </w:rPr>
      </w:pPr>
      <w:r w:rsidRPr="009733E2">
        <w:rPr>
          <w:rFonts w:ascii="Times New Roman" w:hAnsi="Times New Roman" w:cs="Times New Roman"/>
          <w:b/>
          <w:bCs/>
          <w:color w:val="0F9ED5" w:themeColor="accent4"/>
          <w:sz w:val="28"/>
          <w:szCs w:val="28"/>
        </w:rPr>
        <w:t>4.11 STIG Compliance Versus Operational Security</w:t>
      </w:r>
    </w:p>
    <w:p w14:paraId="6DB59B47"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4.11.1 When Compliance Does Not Equal Security</w:t>
      </w:r>
    </w:p>
    <w:p w14:paraId="6B12F5B1"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4.11.2 When Security Does Not Equal Compliance</w:t>
      </w:r>
    </w:p>
    <w:p w14:paraId="51686DBA"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4.11.3 Common Assessment Blind Spots</w:t>
      </w:r>
    </w:p>
    <w:p w14:paraId="2E465E19"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4.11.4 Identity Attack Paths Beyond Compliance</w:t>
      </w:r>
    </w:p>
    <w:p w14:paraId="5C94C3A4"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4.11.5 Risk-Based Security Decision Making</w:t>
      </w:r>
    </w:p>
    <w:p w14:paraId="52224D42"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4.11.6 Balancing Mission Requirements and Security Requirements</w:t>
      </w:r>
    </w:p>
    <w:p w14:paraId="08FABF49"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53273303">
          <v:rect id="_x0000_i1039" style="width:0;height:1.5pt" o:hralign="center" o:hrstd="t" o:hr="t" fillcolor="#a0a0a0" stroked="f"/>
        </w:pict>
      </w:r>
    </w:p>
    <w:p w14:paraId="168912FD" w14:textId="77777777" w:rsidR="009733E2" w:rsidRPr="009733E2" w:rsidRDefault="009733E2" w:rsidP="009733E2">
      <w:pPr>
        <w:jc w:val="both"/>
        <w:rPr>
          <w:rFonts w:ascii="Times New Roman" w:hAnsi="Times New Roman" w:cs="Times New Roman"/>
          <w:b/>
          <w:bCs/>
          <w:color w:val="0F9ED5" w:themeColor="accent4"/>
          <w:sz w:val="28"/>
          <w:szCs w:val="28"/>
        </w:rPr>
      </w:pPr>
      <w:r w:rsidRPr="009733E2">
        <w:rPr>
          <w:rFonts w:ascii="Times New Roman" w:hAnsi="Times New Roman" w:cs="Times New Roman"/>
          <w:b/>
          <w:bCs/>
          <w:color w:val="0F9ED5" w:themeColor="accent4"/>
          <w:sz w:val="28"/>
          <w:szCs w:val="28"/>
        </w:rPr>
        <w:lastRenderedPageBreak/>
        <w:t>4.12 The STIG Process Through the Eyes of an Active Directory Security Engineer</w:t>
      </w:r>
    </w:p>
    <w:p w14:paraId="23AA219E"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4.12.1 Daily STIG Compliance Operations</w:t>
      </w:r>
    </w:p>
    <w:p w14:paraId="50D87C98"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4.12.2 Translating STIG Findings Into Technical Remediation Activities</w:t>
      </w:r>
    </w:p>
    <w:p w14:paraId="1C30B707"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4.12.3 Managing Security Exceptions</w:t>
      </w:r>
    </w:p>
    <w:p w14:paraId="13EA38EC"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4.12.4 Supporting Security Assessments</w:t>
      </w:r>
    </w:p>
    <w:p w14:paraId="1B96841D"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4.12.5 Generating Compliance Artifacts</w:t>
      </w:r>
    </w:p>
    <w:p w14:paraId="7856FFDC"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4.12.6 Supporting Authorization Activities</w:t>
      </w:r>
    </w:p>
    <w:p w14:paraId="3CA28505"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4.12.7 Continuous Monitoring and Compliance Maintenance</w:t>
      </w:r>
    </w:p>
    <w:p w14:paraId="41D5F273"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21DCC9BE">
          <v:rect id="_x0000_i1040" style="width:0;height:1.5pt" o:hralign="center" o:hrstd="t" o:hr="t" fillcolor="#a0a0a0" stroked="f"/>
        </w:pict>
      </w:r>
    </w:p>
    <w:p w14:paraId="47C2F341" w14:textId="77777777" w:rsidR="009733E2" w:rsidRPr="009733E2" w:rsidRDefault="009733E2" w:rsidP="009733E2">
      <w:pPr>
        <w:jc w:val="both"/>
        <w:rPr>
          <w:rFonts w:ascii="Times New Roman" w:hAnsi="Times New Roman" w:cs="Times New Roman"/>
          <w:b/>
          <w:bCs/>
          <w:color w:val="0F9ED5" w:themeColor="accent4"/>
          <w:sz w:val="28"/>
          <w:szCs w:val="28"/>
        </w:rPr>
      </w:pPr>
      <w:r w:rsidRPr="009733E2">
        <w:rPr>
          <w:rFonts w:ascii="Times New Roman" w:hAnsi="Times New Roman" w:cs="Times New Roman"/>
          <w:b/>
          <w:bCs/>
          <w:color w:val="0F9ED5" w:themeColor="accent4"/>
          <w:sz w:val="28"/>
          <w:szCs w:val="28"/>
        </w:rPr>
        <w:t>4.13 Case Study: Applying STIGs Within a Federal and Military Active Directory Enterprise</w:t>
      </w:r>
    </w:p>
    <w:p w14:paraId="1CFAD769"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4.13.1 Initial Compliance Assessment</w:t>
      </w:r>
    </w:p>
    <w:p w14:paraId="5E26A5F8"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4.13.2 Discovery of Security Findings</w:t>
      </w:r>
    </w:p>
    <w:p w14:paraId="0BB9F83C"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4.13.3 Identity Infrastructure Risk Analysis</w:t>
      </w:r>
    </w:p>
    <w:p w14:paraId="7874C0CD"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4.13.4 Remediation Planning</w:t>
      </w:r>
    </w:p>
    <w:p w14:paraId="321582B7"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4.13.5 STIG Implementation Activities</w:t>
      </w:r>
    </w:p>
    <w:p w14:paraId="7E448543"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4.13.6 Assessment Validation</w:t>
      </w:r>
    </w:p>
    <w:p w14:paraId="25B952ED"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4.13.7 POA&amp;M Development</w:t>
      </w:r>
    </w:p>
    <w:p w14:paraId="51AF240A"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4.13.8 Authorization Impact Analysis</w:t>
      </w:r>
    </w:p>
    <w:p w14:paraId="47067A96" w14:textId="77777777" w:rsidR="009733E2" w:rsidRPr="004744CD" w:rsidRDefault="009733E2" w:rsidP="009733E2">
      <w:pPr>
        <w:ind w:firstLine="720"/>
        <w:jc w:val="both"/>
        <w:rPr>
          <w:rFonts w:ascii="Times New Roman" w:hAnsi="Times New Roman" w:cs="Times New Roman"/>
          <w:sz w:val="22"/>
          <w:szCs w:val="22"/>
        </w:rPr>
      </w:pPr>
      <w:r w:rsidRPr="004744CD">
        <w:rPr>
          <w:rFonts w:ascii="Times New Roman" w:hAnsi="Times New Roman" w:cs="Times New Roman"/>
          <w:sz w:val="22"/>
          <w:szCs w:val="22"/>
        </w:rPr>
        <w:t>4.13.9 Lessons Learned</w:t>
      </w:r>
    </w:p>
    <w:p w14:paraId="5E9995FF"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2E3434B9">
          <v:rect id="_x0000_i1041" style="width:0;height:1.5pt" o:hralign="center" o:hrstd="t" o:hr="t" fillcolor="#a0a0a0" stroked="f"/>
        </w:pict>
      </w:r>
    </w:p>
    <w:p w14:paraId="451C38BE" w14:textId="77777777" w:rsidR="009733E2" w:rsidRPr="009733E2" w:rsidRDefault="009733E2" w:rsidP="009733E2">
      <w:pPr>
        <w:jc w:val="both"/>
        <w:rPr>
          <w:rFonts w:ascii="Times New Roman" w:hAnsi="Times New Roman" w:cs="Times New Roman"/>
          <w:b/>
          <w:bCs/>
          <w:color w:val="156082" w:themeColor="accent1"/>
          <w:sz w:val="32"/>
          <w:szCs w:val="32"/>
        </w:rPr>
      </w:pPr>
      <w:r w:rsidRPr="009733E2">
        <w:rPr>
          <w:rFonts w:ascii="Times New Roman" w:hAnsi="Times New Roman" w:cs="Times New Roman"/>
          <w:b/>
          <w:bCs/>
          <w:color w:val="156082" w:themeColor="accent1"/>
          <w:sz w:val="32"/>
          <w:szCs w:val="32"/>
        </w:rPr>
        <w:t>INCLUDED FIGURES</w:t>
      </w:r>
    </w:p>
    <w:p w14:paraId="66B9BA72"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Figure 4-1. Relationship Between RMF, SRGs, and STIGs</w:t>
      </w:r>
    </w:p>
    <w:p w14:paraId="7E32970E"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Figure 4-2. STIG Development and Implementation Lifecycle</w:t>
      </w:r>
    </w:p>
    <w:p w14:paraId="75D9E6A6"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Figure 4-3. STIG Rule Architecture and Component Breakdown</w:t>
      </w:r>
    </w:p>
    <w:p w14:paraId="4372642B"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Figure 4-4. Active Directory Security Controls Mapped to STIG Requirements</w:t>
      </w:r>
    </w:p>
    <w:p w14:paraId="167994D3"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Figure 4-5. Identity-Centric Compliance Assessment Workflow</w:t>
      </w:r>
    </w:p>
    <w:p w14:paraId="514F15E7"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lastRenderedPageBreak/>
        <w:t>Figure 4-6. STIG Findings to POA&amp;M Remediation Process</w:t>
      </w:r>
    </w:p>
    <w:p w14:paraId="6208220C"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Figure 4-7. Continuous Monitoring and Compliance Validation Architecture</w:t>
      </w:r>
    </w:p>
    <w:p w14:paraId="6D0F0C1C" w14:textId="77777777" w:rsidR="009733E2" w:rsidRPr="004744CD" w:rsidRDefault="00000000" w:rsidP="009733E2">
      <w:pPr>
        <w:jc w:val="both"/>
        <w:rPr>
          <w:rFonts w:ascii="Times New Roman" w:hAnsi="Times New Roman" w:cs="Times New Roman"/>
          <w:sz w:val="22"/>
          <w:szCs w:val="22"/>
        </w:rPr>
      </w:pPr>
      <w:r>
        <w:rPr>
          <w:rFonts w:ascii="Times New Roman" w:hAnsi="Times New Roman" w:cs="Times New Roman"/>
          <w:sz w:val="22"/>
          <w:szCs w:val="22"/>
        </w:rPr>
        <w:pict w14:anchorId="23D7679D">
          <v:rect id="_x0000_i1042" style="width:0;height:1.5pt" o:hralign="center" o:hrstd="t" o:hr="t" fillcolor="#a0a0a0" stroked="f"/>
        </w:pict>
      </w:r>
    </w:p>
    <w:p w14:paraId="755081A2" w14:textId="77777777" w:rsidR="009733E2" w:rsidRPr="009733E2" w:rsidRDefault="009733E2" w:rsidP="009733E2">
      <w:pPr>
        <w:jc w:val="both"/>
        <w:rPr>
          <w:rFonts w:ascii="Times New Roman" w:hAnsi="Times New Roman" w:cs="Times New Roman"/>
          <w:b/>
          <w:bCs/>
          <w:color w:val="156082" w:themeColor="accent1"/>
          <w:sz w:val="32"/>
          <w:szCs w:val="32"/>
        </w:rPr>
      </w:pPr>
      <w:r w:rsidRPr="009733E2">
        <w:rPr>
          <w:rFonts w:ascii="Times New Roman" w:hAnsi="Times New Roman" w:cs="Times New Roman"/>
          <w:b/>
          <w:bCs/>
          <w:color w:val="156082" w:themeColor="accent1"/>
          <w:sz w:val="32"/>
          <w:szCs w:val="32"/>
        </w:rPr>
        <w:t>INCLUDED TABLES</w:t>
      </w:r>
    </w:p>
    <w:p w14:paraId="2C8A209C"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Table 4-1. Major Federal and Military SRGs</w:t>
      </w:r>
    </w:p>
    <w:p w14:paraId="4A11C4C8"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Table 4-2. STIG Severity Categories and Risk Definitions</w:t>
      </w:r>
    </w:p>
    <w:p w14:paraId="26B70AC5"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Table 4-3. Common Active Directory STIG Requirements</w:t>
      </w:r>
    </w:p>
    <w:p w14:paraId="5724E070"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Table 4-4. Active Directory Controls Mapped to NIST SP 800-53 Families</w:t>
      </w:r>
    </w:p>
    <w:p w14:paraId="3CC2FD5B"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Table 4-5. Common CAT I, CAT II, and CAT III Identity Findings</w:t>
      </w:r>
    </w:p>
    <w:p w14:paraId="1F7E6FA4"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Table 4-6. Typical STIG Assessment Evidence and Artifacts</w:t>
      </w:r>
    </w:p>
    <w:p w14:paraId="508DA96A" w14:textId="77777777" w:rsidR="009733E2" w:rsidRPr="004744CD" w:rsidRDefault="009733E2" w:rsidP="009733E2">
      <w:pPr>
        <w:jc w:val="both"/>
        <w:rPr>
          <w:rFonts w:ascii="Times New Roman" w:hAnsi="Times New Roman" w:cs="Times New Roman"/>
          <w:sz w:val="22"/>
          <w:szCs w:val="22"/>
        </w:rPr>
      </w:pPr>
      <w:r w:rsidRPr="004744CD">
        <w:rPr>
          <w:rFonts w:ascii="Times New Roman" w:hAnsi="Times New Roman" w:cs="Times New Roman"/>
          <w:sz w:val="22"/>
          <w:szCs w:val="22"/>
        </w:rPr>
        <w:t>Table 4-7. Common Identity Infrastructure Misconfigurations and Associated Risks</w:t>
      </w:r>
    </w:p>
    <w:p w14:paraId="06A77223" w14:textId="2493A374" w:rsidR="004744CD" w:rsidRPr="009733E2" w:rsidRDefault="009733E2" w:rsidP="004744CD">
      <w:pPr>
        <w:jc w:val="both"/>
        <w:rPr>
          <w:rFonts w:ascii="Times New Roman" w:hAnsi="Times New Roman" w:cs="Times New Roman"/>
          <w:sz w:val="22"/>
          <w:szCs w:val="22"/>
        </w:rPr>
      </w:pPr>
      <w:r w:rsidRPr="004744CD">
        <w:rPr>
          <w:rFonts w:ascii="Times New Roman" w:hAnsi="Times New Roman" w:cs="Times New Roman"/>
          <w:sz w:val="22"/>
          <w:szCs w:val="22"/>
        </w:rPr>
        <w:t>Table 4-8. Compliance Validation Tools and Assessment Capabilities</w:t>
      </w:r>
    </w:p>
    <w:p w14:paraId="328893F9" w14:textId="77777777" w:rsidR="004744CD" w:rsidRPr="004744CD" w:rsidRDefault="004744CD" w:rsidP="004744CD">
      <w:pPr>
        <w:jc w:val="both"/>
        <w:rPr>
          <w:rFonts w:ascii="Times New Roman" w:hAnsi="Times New Roman" w:cs="Times New Roman"/>
          <w:sz w:val="22"/>
          <w:szCs w:val="22"/>
        </w:rPr>
      </w:pPr>
    </w:p>
    <w:p w14:paraId="33714102" w14:textId="77777777" w:rsidR="004744CD" w:rsidRPr="004744CD" w:rsidRDefault="004744CD" w:rsidP="004744CD">
      <w:pPr>
        <w:jc w:val="both"/>
        <w:rPr>
          <w:rFonts w:ascii="Times New Roman" w:hAnsi="Times New Roman" w:cs="Times New Roman"/>
          <w:sz w:val="22"/>
          <w:szCs w:val="22"/>
        </w:rPr>
      </w:pPr>
    </w:p>
    <w:p w14:paraId="0D439688" w14:textId="77777777" w:rsidR="00637E5D" w:rsidRPr="004744CD" w:rsidRDefault="00637E5D" w:rsidP="004744CD">
      <w:pPr>
        <w:jc w:val="both"/>
        <w:rPr>
          <w:rFonts w:ascii="Times New Roman" w:hAnsi="Times New Roman" w:cs="Times New Roman"/>
          <w:sz w:val="22"/>
          <w:szCs w:val="22"/>
        </w:rPr>
      </w:pPr>
    </w:p>
    <w:p w14:paraId="4845BCCE" w14:textId="77777777" w:rsidR="00637E5D" w:rsidRPr="004744CD" w:rsidRDefault="00637E5D" w:rsidP="00637E5D">
      <w:pPr>
        <w:ind w:firstLine="720"/>
        <w:jc w:val="both"/>
        <w:rPr>
          <w:rFonts w:ascii="Times New Roman" w:hAnsi="Times New Roman" w:cs="Times New Roman"/>
          <w:sz w:val="22"/>
          <w:szCs w:val="22"/>
        </w:rPr>
      </w:pPr>
    </w:p>
    <w:p w14:paraId="1077D1E0" w14:textId="77777777" w:rsidR="00637E5D" w:rsidRPr="004744CD" w:rsidRDefault="00637E5D" w:rsidP="00637E5D">
      <w:pPr>
        <w:ind w:firstLine="720"/>
        <w:jc w:val="both"/>
        <w:rPr>
          <w:rFonts w:ascii="Times New Roman" w:hAnsi="Times New Roman" w:cs="Times New Roman"/>
          <w:sz w:val="22"/>
          <w:szCs w:val="22"/>
        </w:rPr>
      </w:pPr>
    </w:p>
    <w:p w14:paraId="7F1FFF90" w14:textId="6A728779" w:rsidR="00637E5D" w:rsidRPr="004744CD" w:rsidRDefault="00637E5D" w:rsidP="00637E5D">
      <w:pPr>
        <w:ind w:firstLine="720"/>
        <w:jc w:val="both"/>
        <w:rPr>
          <w:rFonts w:ascii="Times New Roman" w:hAnsi="Times New Roman" w:cs="Times New Roman"/>
          <w:sz w:val="22"/>
          <w:szCs w:val="22"/>
        </w:rPr>
      </w:pPr>
    </w:p>
    <w:p w14:paraId="2EE8EDC8" w14:textId="417AB407" w:rsidR="00637E5D" w:rsidRPr="004744CD" w:rsidRDefault="00637E5D" w:rsidP="00637E5D">
      <w:pPr>
        <w:jc w:val="both"/>
        <w:rPr>
          <w:rFonts w:ascii="Times New Roman" w:hAnsi="Times New Roman" w:cs="Times New Roman"/>
          <w:sz w:val="22"/>
          <w:szCs w:val="22"/>
        </w:rPr>
      </w:pPr>
    </w:p>
    <w:p w14:paraId="6F3C50F2" w14:textId="77777777" w:rsidR="00637E5D" w:rsidRPr="004744CD" w:rsidRDefault="00637E5D" w:rsidP="00637E5D">
      <w:pPr>
        <w:jc w:val="both"/>
        <w:rPr>
          <w:rFonts w:ascii="Times New Roman" w:hAnsi="Times New Roman" w:cs="Times New Roman"/>
          <w:sz w:val="22"/>
          <w:szCs w:val="22"/>
        </w:rPr>
      </w:pPr>
    </w:p>
    <w:p w14:paraId="27D39F55" w14:textId="77777777" w:rsidR="008605E0" w:rsidRPr="004744CD" w:rsidRDefault="008605E0" w:rsidP="008605E0">
      <w:pPr>
        <w:jc w:val="both"/>
        <w:rPr>
          <w:rFonts w:ascii="Times New Roman" w:hAnsi="Times New Roman" w:cs="Times New Roman"/>
          <w:sz w:val="22"/>
          <w:szCs w:val="22"/>
        </w:rPr>
      </w:pPr>
      <w:r w:rsidRPr="004744CD">
        <w:rPr>
          <w:rFonts w:ascii="Times New Roman" w:hAnsi="Times New Roman" w:cs="Times New Roman"/>
          <w:sz w:val="22"/>
          <w:szCs w:val="22"/>
        </w:rPr>
        <w:tab/>
      </w:r>
    </w:p>
    <w:p w14:paraId="7C9452AC" w14:textId="77777777" w:rsidR="008605E0" w:rsidRPr="00740D03" w:rsidRDefault="008605E0" w:rsidP="008605E0">
      <w:pPr>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INCLUDED FIGURES</w:t>
      </w:r>
    </w:p>
    <w:p w14:paraId="613485AC" w14:textId="77777777" w:rsidR="008605E0" w:rsidRPr="004B1D4F" w:rsidRDefault="008605E0" w:rsidP="008605E0">
      <w:pPr>
        <w:jc w:val="both"/>
        <w:rPr>
          <w:rFonts w:ascii="Times New Roman" w:hAnsi="Times New Roman" w:cs="Times New Roman"/>
          <w:sz w:val="22"/>
          <w:szCs w:val="22"/>
        </w:rPr>
      </w:pPr>
    </w:p>
    <w:p w14:paraId="36F8F49F" w14:textId="77777777" w:rsidR="008605E0" w:rsidRDefault="008605E0" w:rsidP="008605E0">
      <w:pPr>
        <w:jc w:val="both"/>
        <w:rPr>
          <w:rFonts w:ascii="Times New Roman" w:hAnsi="Times New Roman" w:cs="Times New Roman"/>
          <w:b/>
          <w:bCs/>
          <w:color w:val="0E2841" w:themeColor="text2"/>
          <w:sz w:val="36"/>
          <w:szCs w:val="36"/>
        </w:rPr>
      </w:pPr>
    </w:p>
    <w:p w14:paraId="07CD4923" w14:textId="77777777" w:rsidR="008605E0" w:rsidRPr="00740D03" w:rsidRDefault="008605E0" w:rsidP="008605E0">
      <w:pPr>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INCLUDED TABLES</w:t>
      </w:r>
    </w:p>
    <w:p w14:paraId="697B813B" w14:textId="77777777" w:rsidR="008605E0" w:rsidRDefault="008605E0" w:rsidP="008605E0"/>
    <w:p w14:paraId="01FCEAC3" w14:textId="77777777" w:rsidR="00B47558" w:rsidRDefault="00B47558"/>
    <w:sectPr w:rsidR="00B47558" w:rsidSect="00860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44A61"/>
    <w:multiLevelType w:val="hybridMultilevel"/>
    <w:tmpl w:val="71CE6BA8"/>
    <w:lvl w:ilvl="0" w:tplc="D6CC0D5A">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4106B1"/>
    <w:multiLevelType w:val="multilevel"/>
    <w:tmpl w:val="E8E0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647591">
    <w:abstractNumId w:val="0"/>
  </w:num>
  <w:num w:numId="2" w16cid:durableId="159390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5E0"/>
    <w:rsid w:val="00135A06"/>
    <w:rsid w:val="00292BA8"/>
    <w:rsid w:val="004744CD"/>
    <w:rsid w:val="00637E5D"/>
    <w:rsid w:val="008605E0"/>
    <w:rsid w:val="00941DF8"/>
    <w:rsid w:val="009733E2"/>
    <w:rsid w:val="00A435E7"/>
    <w:rsid w:val="00B47558"/>
    <w:rsid w:val="00BE5E6A"/>
    <w:rsid w:val="00F00992"/>
    <w:rsid w:val="00F54F43"/>
    <w:rsid w:val="00FE4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7AF6"/>
  <w15:chartTrackingRefBased/>
  <w15:docId w15:val="{3C9747BA-20BD-44AF-BA64-949837DE8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5E0"/>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860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5E0"/>
    <w:rPr>
      <w:rFonts w:eastAsiaTheme="majorEastAsia" w:cstheme="majorBidi"/>
      <w:color w:val="272727" w:themeColor="text1" w:themeTint="D8"/>
    </w:rPr>
  </w:style>
  <w:style w:type="paragraph" w:styleId="Title">
    <w:name w:val="Title"/>
    <w:basedOn w:val="Normal"/>
    <w:next w:val="Normal"/>
    <w:link w:val="TitleChar"/>
    <w:uiPriority w:val="10"/>
    <w:qFormat/>
    <w:rsid w:val="0086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5E0"/>
    <w:pPr>
      <w:spacing w:before="160"/>
      <w:jc w:val="center"/>
    </w:pPr>
    <w:rPr>
      <w:i/>
      <w:iCs/>
      <w:color w:val="404040" w:themeColor="text1" w:themeTint="BF"/>
    </w:rPr>
  </w:style>
  <w:style w:type="character" w:customStyle="1" w:styleId="QuoteChar">
    <w:name w:val="Quote Char"/>
    <w:basedOn w:val="DefaultParagraphFont"/>
    <w:link w:val="Quote"/>
    <w:uiPriority w:val="29"/>
    <w:rsid w:val="008605E0"/>
    <w:rPr>
      <w:i/>
      <w:iCs/>
      <w:color w:val="404040" w:themeColor="text1" w:themeTint="BF"/>
    </w:rPr>
  </w:style>
  <w:style w:type="paragraph" w:styleId="ListParagraph">
    <w:name w:val="List Paragraph"/>
    <w:basedOn w:val="Normal"/>
    <w:uiPriority w:val="34"/>
    <w:qFormat/>
    <w:rsid w:val="008605E0"/>
    <w:pPr>
      <w:ind w:left="720"/>
      <w:contextualSpacing/>
    </w:pPr>
  </w:style>
  <w:style w:type="character" w:styleId="IntenseEmphasis">
    <w:name w:val="Intense Emphasis"/>
    <w:basedOn w:val="DefaultParagraphFont"/>
    <w:uiPriority w:val="21"/>
    <w:qFormat/>
    <w:rsid w:val="008605E0"/>
    <w:rPr>
      <w:i/>
      <w:iCs/>
      <w:color w:val="0F4761" w:themeColor="accent1" w:themeShade="BF"/>
    </w:rPr>
  </w:style>
  <w:style w:type="paragraph" w:styleId="IntenseQuote">
    <w:name w:val="Intense Quote"/>
    <w:basedOn w:val="Normal"/>
    <w:next w:val="Normal"/>
    <w:link w:val="IntenseQuoteChar"/>
    <w:uiPriority w:val="30"/>
    <w:qFormat/>
    <w:rsid w:val="0086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5E0"/>
    <w:rPr>
      <w:i/>
      <w:iCs/>
      <w:color w:val="0F4761" w:themeColor="accent1" w:themeShade="BF"/>
    </w:rPr>
  </w:style>
  <w:style w:type="character" w:styleId="IntenseReference">
    <w:name w:val="Intense Reference"/>
    <w:basedOn w:val="DefaultParagraphFont"/>
    <w:uiPriority w:val="32"/>
    <w:qFormat/>
    <w:rsid w:val="00860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2</cp:revision>
  <dcterms:created xsi:type="dcterms:W3CDTF">2026-06-07T00:46:00Z</dcterms:created>
  <dcterms:modified xsi:type="dcterms:W3CDTF">2026-06-07T00:46:00Z</dcterms:modified>
</cp:coreProperties>
</file>