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40"/>
          <w:szCs w:val="40"/>
        </w:rPr>
        <w:t xml:space="preserve">Appendix B: Default FSMO Roles Quick Reference</w:t>
      </w:r>
    </w:p>
    <w:p>
      <w:pPr>
        <w:spacing w:after="80" w:before="60"/>
      </w:pPr>
      <w:r>
        <w:rPr>
          <w:rFonts w:ascii="Arial" w:cs="Arial" w:eastAsia="Arial" w:hAnsi="Arial"/>
          <w:color w:val="1F1F1F"/>
          <w:sz w:val="20"/>
          <w:szCs w:val="20"/>
        </w:rPr>
        <w:t xml:space="preserve">The five Flexible Single Master Operations (FSMO) roles govern critical directory operations that cannot be performed in a multi-master model. Two roles are forest-wide singletons; three are per-domain. Understanding their function, default placement, failure behavior, and security relevance is essential for both AD administration and adversarial assessment of AD environments.</w:t>
      </w:r>
    </w:p>
    <w:p>
      <w:pPr>
        <w:spacing w:after="120" w:before="8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2500"/>
        <w:gridCol w:w="1500"/>
        <w:gridCol w:w="1900"/>
        <w:gridCol w:w="4760"/>
      </w:tblGrid>
      <w:tr>
        <w:trPr>
          <w:tblHeader/>
        </w:trPr>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FSMO Role</w:t>
            </w:r>
          </w:p>
        </w:tc>
        <w:tc>
          <w:tcPr>
            <w:tcW w:type="dxa" w:w="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Scope</w:t>
            </w:r>
          </w:p>
        </w:tc>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Primary Function</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Default Location</w:t>
            </w:r>
          </w:p>
        </w:tc>
        <w:tc>
          <w:tcPr>
            <w:tcW w:type="dxa" w:w="1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Impact if Offline</w:t>
            </w:r>
          </w:p>
        </w:tc>
        <w:tc>
          <w:tcPr>
            <w:tcW w:type="dxa" w:w="4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Security Relevance</w:t>
            </w:r>
          </w:p>
        </w:tc>
      </w:tr>
      <w:tr>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top"/>
          </w:tcPr>
          <w:p>
            <w:r>
              <w:rPr>
                <w:rFonts w:ascii="Arial" w:cs="Arial" w:eastAsia="Arial" w:hAnsi="Arial"/>
                <w:b/>
                <w:bCs/>
                <w:color w:val="1F1F1F"/>
                <w:sz w:val="18"/>
                <w:szCs w:val="18"/>
              </w:rPr>
              <w:t xml:space="preserve">Schema Master</w:t>
            </w:r>
          </w:p>
        </w:tc>
        <w:tc>
          <w:tcPr>
            <w:tcW w:type="dxa" w:w="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1F1F"/>
                <w:sz w:val="18"/>
                <w:szCs w:val="18"/>
              </w:rPr>
              <w:t xml:space="preserve">Forest</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top"/>
          </w:tcPr>
          <w:p>
            <w:r>
              <w:rPr>
                <w:rFonts w:ascii="Arial" w:cs="Arial" w:eastAsia="Arial" w:hAnsi="Arial"/>
                <w:b w:val="false"/>
                <w:bCs w:val="false"/>
                <w:color w:val="1F1F1F"/>
                <w:sz w:val="18"/>
                <w:szCs w:val="18"/>
              </w:rPr>
              <w:t xml:space="preserve">Controls all updates and modifications to the AD schema. Only this DC may make schema changes. Changes are forest-wide and permanent — attributes can be deactivated but never fully deleted from the schema.</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top"/>
          </w:tcPr>
          <w:p>
            <w:r>
              <w:rPr>
                <w:rFonts w:ascii="Arial" w:cs="Arial" w:eastAsia="Arial" w:hAnsi="Arial"/>
                <w:b w:val="false"/>
                <w:bCs w:val="false"/>
                <w:color w:val="1F1F1F"/>
                <w:sz w:val="18"/>
                <w:szCs w:val="18"/>
              </w:rPr>
              <w:t xml:space="preserve">First DC installed in the forest root domain.</w:t>
            </w:r>
          </w:p>
        </w:tc>
        <w:tc>
          <w:tcPr>
            <w:tcW w:type="dxa" w:w="1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top"/>
          </w:tcPr>
          <w:p>
            <w:r>
              <w:rPr>
                <w:rFonts w:ascii="Arial" w:cs="Arial" w:eastAsia="Arial" w:hAnsi="Arial"/>
                <w:b w:val="false"/>
                <w:bCs w:val="false"/>
                <w:color w:val="1F1F1F"/>
                <w:sz w:val="18"/>
                <w:szCs w:val="18"/>
              </w:rPr>
              <w:t xml:space="preserve">Schema modifications blocked. All existing AD operations continue normally. Impact is low day-to-day but blocking for any deployment requiring schema extensions (Exchange, SCCM, custom attributes).</w:t>
            </w:r>
          </w:p>
        </w:tc>
        <w:tc>
          <w:tcPr>
            <w:tcW w:type="dxa" w:w="4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top"/>
          </w:tcPr>
          <w:p>
            <w:r>
              <w:rPr>
                <w:rFonts w:ascii="Arial" w:cs="Arial" w:eastAsia="Arial" w:hAnsi="Arial"/>
                <w:b w:val="false"/>
                <w:bCs w:val="false"/>
                <w:color w:val="1F1F1F"/>
                <w:sz w:val="18"/>
                <w:szCs w:val="18"/>
              </w:rPr>
              <w:t xml:space="preserve">High-value persistence target. Schema-level modifications can introduce backdoored attributes or object classes. Schema Admin group membership should be empty at all times except during scheduled, approved changes. Monitor Event ID 5136 (directory service object modified) on the Schema Master. Unauthorized schema changes are irreversible.</w:t>
            </w:r>
          </w:p>
        </w:tc>
      </w:tr>
      <w:tr>
        <w:tc>
          <w:tcPr>
            <w:tcW w:type="dxa" w:w="16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vAlign w:val="top"/>
          </w:tcPr>
          <w:p>
            <w:r>
              <w:rPr>
                <w:rFonts w:ascii="Arial" w:cs="Arial" w:eastAsia="Arial" w:hAnsi="Arial"/>
                <w:b/>
                <w:bCs/>
                <w:color w:val="1F1F1F"/>
                <w:sz w:val="18"/>
                <w:szCs w:val="18"/>
              </w:rPr>
              <w:t xml:space="preserve">Domain Naming Master</w:t>
            </w:r>
          </w:p>
        </w:tc>
        <w:tc>
          <w:tcPr>
            <w:tcW w:type="dxa" w:w="7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vAlign w:val="center"/>
          </w:tcPr>
          <w:p>
            <w:pPr>
              <w:jc w:val="center"/>
            </w:pPr>
            <w:r>
              <w:rPr>
                <w:rFonts w:ascii="Arial" w:cs="Arial" w:eastAsia="Arial" w:hAnsi="Arial"/>
                <w:b/>
                <w:bCs/>
                <w:color w:val="1F1F1F"/>
                <w:sz w:val="18"/>
                <w:szCs w:val="18"/>
              </w:rPr>
              <w:t xml:space="preserve">Forest</w:t>
            </w:r>
          </w:p>
        </w:tc>
        <w:tc>
          <w:tcPr>
            <w:tcW w:type="dxa" w:w="2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vAlign w:val="top"/>
          </w:tcPr>
          <w:p>
            <w:r>
              <w:rPr>
                <w:rFonts w:ascii="Arial" w:cs="Arial" w:eastAsia="Arial" w:hAnsi="Arial"/>
                <w:b w:val="false"/>
                <w:bCs w:val="false"/>
                <w:color w:val="1F1F1F"/>
                <w:sz w:val="18"/>
                <w:szCs w:val="18"/>
              </w:rPr>
              <w:t xml:space="preserve">Controls adding and removing domains and application directory partitions from the forest. Must be contactable when creating or removing domains, trust relationships, or application partitions.</w:t>
            </w:r>
          </w:p>
        </w:tc>
        <w:tc>
          <w:tcPr>
            <w:tcW w:type="dxa" w:w="1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vAlign w:val="top"/>
          </w:tcPr>
          <w:p>
            <w:r>
              <w:rPr>
                <w:rFonts w:ascii="Arial" w:cs="Arial" w:eastAsia="Arial" w:hAnsi="Arial"/>
                <w:b w:val="false"/>
                <w:bCs w:val="false"/>
                <w:color w:val="1F1F1F"/>
                <w:sz w:val="18"/>
                <w:szCs w:val="18"/>
              </w:rPr>
              <w:t xml:space="preserve">First DC in the forest root domain. Often co-located with Schema Master initially.</w:t>
            </w:r>
          </w:p>
        </w:tc>
        <w:tc>
          <w:tcPr>
            <w:tcW w:type="dxa" w:w="19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vAlign w:val="top"/>
          </w:tcPr>
          <w:p>
            <w:r>
              <w:rPr>
                <w:rFonts w:ascii="Arial" w:cs="Arial" w:eastAsia="Arial" w:hAnsi="Arial"/>
                <w:b w:val="false"/>
                <w:bCs w:val="false"/>
                <w:color w:val="1F1F1F"/>
                <w:sz w:val="18"/>
                <w:szCs w:val="18"/>
              </w:rPr>
              <w:t xml:space="preserve">Cannot add or remove domains or application partitions from the forest. All existing domain operations continue normally. Impact realized only during forest structural changes.</w:t>
            </w:r>
          </w:p>
        </w:tc>
        <w:tc>
          <w:tcPr>
            <w:tcW w:type="dxa" w:w="476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vAlign w:val="top"/>
          </w:tcPr>
          <w:p>
            <w:r>
              <w:rPr>
                <w:rFonts w:ascii="Arial" w:cs="Arial" w:eastAsia="Arial" w:hAnsi="Arial"/>
                <w:b w:val="false"/>
                <w:bCs w:val="false"/>
                <w:color w:val="1F1F1F"/>
                <w:sz w:val="18"/>
                <w:szCs w:val="18"/>
              </w:rPr>
              <w:t xml:space="preserve">Compromise enables rogue domain or partition injection into the forest. The Domain Naming Master must be a Global Catalog server to properly validate DNS names for new domains. Monitor for unauthorized domain addition events in the forest configuration partition. Treat this server with forest-level access controls.</w:t>
            </w:r>
          </w:p>
        </w:tc>
      </w:tr>
      <w:tr>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top"/>
          </w:tcPr>
          <w:p>
            <w:r>
              <w:rPr>
                <w:rFonts w:ascii="Arial" w:cs="Arial" w:eastAsia="Arial" w:hAnsi="Arial"/>
                <w:b/>
                <w:bCs/>
                <w:color w:val="1F1F1F"/>
                <w:sz w:val="18"/>
                <w:szCs w:val="18"/>
              </w:rPr>
              <w:t xml:space="preserve">PDC Emulator</w:t>
            </w:r>
          </w:p>
        </w:tc>
        <w:tc>
          <w:tcPr>
            <w:tcW w:type="dxa" w:w="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1F1F"/>
                <w:sz w:val="18"/>
                <w:szCs w:val="18"/>
              </w:rPr>
              <w:t xml:space="preserve">Domain</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top"/>
          </w:tcPr>
          <w:p>
            <w:r>
              <w:rPr>
                <w:rFonts w:ascii="Arial" w:cs="Arial" w:eastAsia="Arial" w:hAnsi="Arial"/>
                <w:b w:val="false"/>
                <w:bCs w:val="false"/>
                <w:color w:val="1F1F1F"/>
                <w:sz w:val="18"/>
                <w:szCs w:val="18"/>
              </w:rPr>
              <w:t xml:space="preserve">The busiest and most critical FSMO role. Responsibilities: (1) authoritative time source for the domain; (2) receives immediate password change replication from all DCs; (3) authoritative for account lockout processing; (4) hosts the authoritative Group Policy Object (GPO) editor; (5) provides backward compatibility for legacy NT4 clients.</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top"/>
          </w:tcPr>
          <w:p>
            <w:r>
              <w:rPr>
                <w:rFonts w:ascii="Arial" w:cs="Arial" w:eastAsia="Arial" w:hAnsi="Arial"/>
                <w:b w:val="false"/>
                <w:bCs w:val="false"/>
                <w:color w:val="1F1F1F"/>
                <w:sz w:val="18"/>
                <w:szCs w:val="18"/>
              </w:rPr>
              <w:t xml:space="preserve">First DC installed in the domain.</w:t>
            </w:r>
          </w:p>
        </w:tc>
        <w:tc>
          <w:tcPr>
            <w:tcW w:type="dxa" w:w="1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top"/>
          </w:tcPr>
          <w:p>
            <w:r>
              <w:rPr>
                <w:rFonts w:ascii="Arial" w:cs="Arial" w:eastAsia="Arial" w:hAnsi="Arial"/>
                <w:b w:val="false"/>
                <w:bCs w:val="false"/>
                <w:color w:val="1F1F1F"/>
                <w:sz w:val="18"/>
                <w:szCs w:val="18"/>
              </w:rPr>
              <w:t xml:space="preserve">Highest impact of all FSMO roles. Time desynchronization breaks Kerberos authentication (5-minute skew limit). Password changes may fail or loop. Lockout policy enforcement becomes inconsistent. GPO editing should be redirected. Recover the PDC Emulator first in a disaster recovery scenario.</w:t>
            </w:r>
          </w:p>
        </w:tc>
        <w:tc>
          <w:tcPr>
            <w:tcW w:type="dxa" w:w="4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top"/>
          </w:tcPr>
          <w:p>
            <w:r>
              <w:rPr>
                <w:rFonts w:ascii="Arial" w:cs="Arial" w:eastAsia="Arial" w:hAnsi="Arial"/>
                <w:b w:val="false"/>
                <w:bCs w:val="false"/>
                <w:color w:val="1F1F1F"/>
                <w:sz w:val="18"/>
                <w:szCs w:val="18"/>
              </w:rPr>
              <w:t xml:space="preserve">Primary target for credential-related attacks. Controls account lockout enforcement — compromise allows suppression of lockouts during brute-force or password spraying campaigns. Time sync authority enables deliberate Kerberos disruption via clock skew manipulation. Receives all password change notifications, making it a high-value interception point for credential harvesting. Monitor for abnormal lockout policy modifications and unusual replication patterns originating from the PDC Emulator.</w:t>
            </w:r>
          </w:p>
        </w:tc>
      </w:tr>
      <w:tr>
        <w:tc>
          <w:tcPr>
            <w:tcW w:type="dxa" w:w="16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vAlign w:val="top"/>
          </w:tcPr>
          <w:p>
            <w:r>
              <w:rPr>
                <w:rFonts w:ascii="Arial" w:cs="Arial" w:eastAsia="Arial" w:hAnsi="Arial"/>
                <w:b/>
                <w:bCs/>
                <w:color w:val="1F1F1F"/>
                <w:sz w:val="18"/>
                <w:szCs w:val="18"/>
              </w:rPr>
              <w:t xml:space="preserve">RID Master</w:t>
            </w:r>
          </w:p>
        </w:tc>
        <w:tc>
          <w:tcPr>
            <w:tcW w:type="dxa" w:w="7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vAlign w:val="center"/>
          </w:tcPr>
          <w:p>
            <w:pPr>
              <w:jc w:val="center"/>
            </w:pPr>
            <w:r>
              <w:rPr>
                <w:rFonts w:ascii="Arial" w:cs="Arial" w:eastAsia="Arial" w:hAnsi="Arial"/>
                <w:b/>
                <w:bCs/>
                <w:color w:val="1F1F1F"/>
                <w:sz w:val="18"/>
                <w:szCs w:val="18"/>
              </w:rPr>
              <w:t xml:space="preserve">Domain</w:t>
            </w:r>
          </w:p>
        </w:tc>
        <w:tc>
          <w:tcPr>
            <w:tcW w:type="dxa" w:w="2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vAlign w:val="top"/>
          </w:tcPr>
          <w:p>
            <w:r>
              <w:rPr>
                <w:rFonts w:ascii="Arial" w:cs="Arial" w:eastAsia="Arial" w:hAnsi="Arial"/>
                <w:b w:val="false"/>
                <w:bCs w:val="false"/>
                <w:color w:val="1F1F1F"/>
                <w:sz w:val="18"/>
                <w:szCs w:val="18"/>
              </w:rPr>
              <w:t xml:space="preserve">Allocates pools of Relative Identifiers (RIDs) to all DCs in the domain. RIDs are the unique per-domain component of Security Identifiers (SIDs) assigned to new security principals (users, computers, groups). Each DC receives a pool of 500 RIDs and requests a new pool when the remaining count drops below 100.</w:t>
            </w:r>
          </w:p>
        </w:tc>
        <w:tc>
          <w:tcPr>
            <w:tcW w:type="dxa" w:w="1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vAlign w:val="top"/>
          </w:tcPr>
          <w:p>
            <w:r>
              <w:rPr>
                <w:rFonts w:ascii="Arial" w:cs="Arial" w:eastAsia="Arial" w:hAnsi="Arial"/>
                <w:b w:val="false"/>
                <w:bCs w:val="false"/>
                <w:color w:val="1F1F1F"/>
                <w:sz w:val="18"/>
                <w:szCs w:val="18"/>
              </w:rPr>
              <w:t xml:space="preserve">First DC installed in the domain.</w:t>
            </w:r>
          </w:p>
        </w:tc>
        <w:tc>
          <w:tcPr>
            <w:tcW w:type="dxa" w:w="19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vAlign w:val="top"/>
          </w:tcPr>
          <w:p>
            <w:r>
              <w:rPr>
                <w:rFonts w:ascii="Arial" w:cs="Arial" w:eastAsia="Arial" w:hAnsi="Arial"/>
                <w:b w:val="false"/>
                <w:bCs w:val="false"/>
                <w:color w:val="1F1F1F"/>
                <w:sz w:val="18"/>
                <w:szCs w:val="18"/>
              </w:rPr>
              <w:t xml:space="preserve">DCs continue creating objects using existing RID pools. Impact occurs when DC RID pools exhaust — new users, computers, and groups cannot be created. High-churn environments (bulk provisioning) are at greater risk. Prolonged unavailability degrades to a hard stop on all new security principal creation.</w:t>
            </w:r>
          </w:p>
        </w:tc>
        <w:tc>
          <w:tcPr>
            <w:tcW w:type="dxa" w:w="476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vAlign w:val="top"/>
          </w:tcPr>
          <w:p>
            <w:r>
              <w:rPr>
                <w:rFonts w:ascii="Arial" w:cs="Arial" w:eastAsia="Arial" w:hAnsi="Arial"/>
                <w:b w:val="false"/>
                <w:bCs w:val="false"/>
                <w:color w:val="1F1F1F"/>
                <w:sz w:val="18"/>
                <w:szCs w:val="18"/>
              </w:rPr>
              <w:t xml:space="preserve">RID pool exhaustion denial-of-service: artificially inflating the rIDNextRID or rIDUsedPool values on the RID Manager$ object can push a domain toward RID exhaustion. RID hijacking techniques (related to CVE-2021-42278 noPac) manipulate RID assignment to create accounts with SIDs that appear to belong to high-privileged groups. Monitor the rIDAvailablePool attribute on the CN=RID Manager$,CN=System,DC= object. Alert on unexpected large RID pool allocations.</w:t>
            </w:r>
          </w:p>
        </w:tc>
      </w:tr>
      <w:tr>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top"/>
          </w:tcPr>
          <w:p>
            <w:r>
              <w:rPr>
                <w:rFonts w:ascii="Arial" w:cs="Arial" w:eastAsia="Arial" w:hAnsi="Arial"/>
                <w:b/>
                <w:bCs/>
                <w:color w:val="1F1F1F"/>
                <w:sz w:val="18"/>
                <w:szCs w:val="18"/>
              </w:rPr>
              <w:t xml:space="preserve">Infrastructure Master</w:t>
            </w:r>
          </w:p>
        </w:tc>
        <w:tc>
          <w:tcPr>
            <w:tcW w:type="dxa" w:w="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1F1F"/>
                <w:sz w:val="18"/>
                <w:szCs w:val="18"/>
              </w:rPr>
              <w:t xml:space="preserve">Domain</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top"/>
          </w:tcPr>
          <w:p>
            <w:r>
              <w:rPr>
                <w:rFonts w:ascii="Arial" w:cs="Arial" w:eastAsia="Arial" w:hAnsi="Arial"/>
                <w:b w:val="false"/>
                <w:bCs w:val="false"/>
                <w:color w:val="1F1F1F"/>
                <w:sz w:val="18"/>
                <w:szCs w:val="18"/>
              </w:rPr>
              <w:t xml:space="preserve">Maintains and updates cross-domain object references (phantom objects) — ghost representations of objects from other domains that appear in group memberships and ACLs. Ensures cross-domain name references remain accurate when objects are renamed or moved in other domains. In single-domain forests, this role has no functional effect.</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top"/>
          </w:tcPr>
          <w:p>
            <w:r>
              <w:rPr>
                <w:rFonts w:ascii="Arial" w:cs="Arial" w:eastAsia="Arial" w:hAnsi="Arial"/>
                <w:b w:val="false"/>
                <w:bCs w:val="false"/>
                <w:color w:val="1F1F1F"/>
                <w:sz w:val="18"/>
                <w:szCs w:val="18"/>
              </w:rPr>
              <w:t xml:space="preserve">First DC installed in the domain.</w:t>
            </w:r>
          </w:p>
        </w:tc>
        <w:tc>
          <w:tcPr>
            <w:tcW w:type="dxa" w:w="1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top"/>
          </w:tcPr>
          <w:p>
            <w:r>
              <w:rPr>
                <w:rFonts w:ascii="Arial" w:cs="Arial" w:eastAsia="Arial" w:hAnsi="Arial"/>
                <w:b w:val="false"/>
                <w:bCs w:val="false"/>
                <w:color w:val="1F1F1F"/>
                <w:sz w:val="18"/>
                <w:szCs w:val="18"/>
              </w:rPr>
              <w:t xml:space="preserve">In single-domain forests: no impact. In multi-domain forests: cross-domain group membership references may display as raw SIDs rather than resolved names after cross-domain object changes. Operational impact is generally low but can confuse administrators and monitoring tools relying on name resolution.</w:t>
            </w:r>
          </w:p>
        </w:tc>
        <w:tc>
          <w:tcPr>
            <w:tcW w:type="dxa" w:w="4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top"/>
          </w:tcPr>
          <w:p>
            <w:r>
              <w:rPr>
                <w:rFonts w:ascii="Arial" w:cs="Arial" w:eastAsia="Arial" w:hAnsi="Arial"/>
                <w:b w:val="false"/>
                <w:bCs w:val="false"/>
                <w:color w:val="1F1F1F"/>
                <w:sz w:val="18"/>
                <w:szCs w:val="18"/>
              </w:rPr>
              <w:t xml:space="preserve">Lower direct attack value than other roles. In multi-domain forest attacks, degrading the Infrastructure Master can obscure cross-domain group memberships from defenders relying on name resolution in AD management tools. Critical placement rule: the Infrastructure Master must NOT be hosted on a Global Catalog server in multi-domain forests (unless all DCs are GC servers). Incorrect placement — the most common Infrastructure Master misconfiguration — causes phantom object updates to fail silently.</w:t>
            </w:r>
          </w:p>
        </w:tc>
      </w:tr>
    </w:tbl>
    <w:p>
      <w:pPr>
        <w:spacing w:after="80" w:before="200"/>
      </w:pPr>
      <w:r>
        <w:t xml:space="preserve"/>
      </w:r>
    </w:p>
    <w:p>
      <w:pPr>
        <w:pBdr>
          <w:bottom w:val="single" w:color="2E75B6" w:sz="4" w:space="4"/>
        </w:pBdr>
        <w:spacing w:after="100" w:before="320"/>
      </w:pPr>
      <w:r>
        <w:rPr>
          <w:rFonts w:ascii="Arial" w:cs="Arial" w:eastAsia="Arial" w:hAnsi="Arial"/>
          <w:b/>
          <w:bCs/>
          <w:color w:val="1F3864"/>
          <w:sz w:val="26"/>
          <w:szCs w:val="26"/>
        </w:rPr>
        <w:t xml:space="preserve">Identifying Current FSMO Role Holders</w:t>
      </w:r>
    </w:p>
    <w:p>
      <w:pPr>
        <w:spacing w:after="80" w:before="60"/>
      </w:pPr>
      <w:r>
        <w:rPr>
          <w:rFonts w:ascii="Arial" w:cs="Arial" w:eastAsia="Arial" w:hAnsi="Arial"/>
          <w:color w:val="1F1F1F"/>
          <w:sz w:val="20"/>
          <w:szCs w:val="20"/>
        </w:rPr>
        <w:t xml:space="preserve">Run any of the following from any domain-joined system with RSAT or the ActiveDirectory PowerShell module installed. Always verify current role holders before any transfer or seize operation.</w:t>
      </w:r>
    </w:p>
    <w:p>
      <w:pPr>
        <w:spacing w:after="80" w:before="4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7"/>
                <w:szCs w:val="17"/>
              </w:rPr>
              <w:t xml:space="preserve"># Quick query — all five FSMO roles via netdom (no module required)</w:t>
            </w:r>
          </w:p>
          <w:p>
            <w:pPr>
              <w:spacing w:after="40" w:before="0"/>
            </w:pPr>
            <w:r>
              <w:rPr>
                <w:rFonts w:ascii="Courier New" w:cs="Courier New" w:eastAsia="Courier New" w:hAnsi="Courier New"/>
                <w:color w:val="D4D4D4"/>
                <w:sz w:val="17"/>
                <w:szCs w:val="17"/>
              </w:rPr>
              <w:t xml:space="preserve">netdom query fsmo</w:t>
            </w:r>
          </w:p>
          <w:p>
            <w:pPr>
              <w:spacing w:after="40" w:before="0"/>
            </w:pPr>
            <w:r>
              <w:rPr>
                <w:rFonts w:ascii="Courier New" w:cs="Courier New" w:eastAsia="Courier New" w:hAnsi="Courier New"/>
                <w:color w:val="D4D4D4"/>
                <w:sz w:val="17"/>
                <w:szCs w:val="17"/>
              </w:rPr>
              <w:t xml:space="preserve"/>
            </w:r>
          </w:p>
          <w:p>
            <w:pPr>
              <w:spacing w:after="40" w:before="0"/>
            </w:pPr>
            <w:r>
              <w:rPr>
                <w:rFonts w:ascii="Courier New" w:cs="Courier New" w:eastAsia="Courier New" w:hAnsi="Courier New"/>
                <w:color w:val="D4D4D4"/>
                <w:sz w:val="17"/>
                <w:szCs w:val="17"/>
              </w:rPr>
              <w:t xml:space="preserve"># PowerShell — forest-scoped roles (Schema Master, Domain Naming Master)</w:t>
            </w:r>
          </w:p>
          <w:p>
            <w:pPr>
              <w:spacing w:after="40" w:before="0"/>
            </w:pPr>
            <w:r>
              <w:rPr>
                <w:rFonts w:ascii="Courier New" w:cs="Courier New" w:eastAsia="Courier New" w:hAnsi="Courier New"/>
                <w:color w:val="D4D4D4"/>
                <w:sz w:val="17"/>
                <w:szCs w:val="17"/>
              </w:rPr>
              <w:t xml:space="preserve">Get-ADForest | Select-Object SchemaMaster, DomainNamingMaster</w:t>
            </w:r>
          </w:p>
          <w:p>
            <w:pPr>
              <w:spacing w:after="40" w:before="0"/>
            </w:pPr>
            <w:r>
              <w:rPr>
                <w:rFonts w:ascii="Courier New" w:cs="Courier New" w:eastAsia="Courier New" w:hAnsi="Courier New"/>
                <w:color w:val="D4D4D4"/>
                <w:sz w:val="17"/>
                <w:szCs w:val="17"/>
              </w:rPr>
              <w:t xml:space="preserve"/>
            </w:r>
          </w:p>
          <w:p>
            <w:pPr>
              <w:spacing w:after="40" w:before="0"/>
            </w:pPr>
            <w:r>
              <w:rPr>
                <w:rFonts w:ascii="Courier New" w:cs="Courier New" w:eastAsia="Courier New" w:hAnsi="Courier New"/>
                <w:color w:val="D4D4D4"/>
                <w:sz w:val="17"/>
                <w:szCs w:val="17"/>
              </w:rPr>
              <w:t xml:space="preserve"># PowerShell — domain-scoped roles (PDC Emulator, RID Master, Infrastructure Master)</w:t>
            </w:r>
          </w:p>
          <w:p>
            <w:pPr>
              <w:spacing w:after="40" w:before="0"/>
            </w:pPr>
            <w:r>
              <w:rPr>
                <w:rFonts w:ascii="Courier New" w:cs="Courier New" w:eastAsia="Courier New" w:hAnsi="Courier New"/>
                <w:color w:val="D4D4D4"/>
                <w:sz w:val="17"/>
                <w:szCs w:val="17"/>
              </w:rPr>
              <w:t xml:space="preserve">Get-ADDomain | Select-Object PDCEmulator, RIDMaster, InfrastructureMaster</w:t>
            </w:r>
          </w:p>
          <w:p>
            <w:pPr>
              <w:spacing w:after="40" w:before="0"/>
            </w:pPr>
            <w:r>
              <w:rPr>
                <w:rFonts w:ascii="Courier New" w:cs="Courier New" w:eastAsia="Courier New" w:hAnsi="Courier New"/>
                <w:color w:val="D4D4D4"/>
                <w:sz w:val="17"/>
                <w:szCs w:val="17"/>
              </w:rPr>
              <w:t xml:space="preserve"/>
            </w:r>
          </w:p>
          <w:p>
            <w:pPr>
              <w:spacing w:after="40" w:before="0"/>
            </w:pPr>
            <w:r>
              <w:rPr>
                <w:rFonts w:ascii="Courier New" w:cs="Courier New" w:eastAsia="Courier New" w:hAnsi="Courier New"/>
                <w:color w:val="D4D4D4"/>
                <w:sz w:val="17"/>
                <w:szCs w:val="17"/>
              </w:rPr>
              <w:t xml:space="preserve"># PowerShell — all roles held by each DC in the domain</w:t>
            </w:r>
          </w:p>
          <w:p>
            <w:pPr>
              <w:spacing w:after="40" w:before="0"/>
            </w:pPr>
            <w:r>
              <w:rPr>
                <w:rFonts w:ascii="Courier New" w:cs="Courier New" w:eastAsia="Courier New" w:hAnsi="Courier New"/>
                <w:color w:val="D4D4D4"/>
                <w:sz w:val="17"/>
                <w:szCs w:val="17"/>
              </w:rPr>
              <w:t xml:space="preserve">Get-ADDomainController -Filter * | Select-Object Name, OperationMasterRoles | Format-Table -AutoSize</w:t>
            </w:r>
          </w:p>
        </w:tc>
      </w:tr>
    </w:tbl>
    <w:p>
      <w:pPr>
        <w:spacing w:after="80" w:before="200"/>
      </w:pPr>
      <w:r>
        <w:t xml:space="preserve"/>
      </w:r>
    </w:p>
    <w:p>
      <w:pPr>
        <w:pBdr>
          <w:bottom w:val="single" w:color="2E75B6" w:sz="4" w:space="4"/>
        </w:pBdr>
        <w:spacing w:after="100" w:before="320"/>
      </w:pPr>
      <w:r>
        <w:rPr>
          <w:rFonts w:ascii="Arial" w:cs="Arial" w:eastAsia="Arial" w:hAnsi="Arial"/>
          <w:b/>
          <w:bCs/>
          <w:color w:val="1F3864"/>
          <w:sz w:val="26"/>
          <w:szCs w:val="26"/>
        </w:rPr>
        <w:t xml:space="preserve">Graceful Transfer (Source DC Online)</w:t>
      </w:r>
    </w:p>
    <w:p>
      <w:pPr>
        <w:spacing w:after="80" w:before="60"/>
      </w:pPr>
      <w:r>
        <w:rPr>
          <w:rFonts w:ascii="Arial" w:cs="Arial" w:eastAsia="Arial" w:hAnsi="Arial"/>
          <w:color w:val="1F1F1F"/>
          <w:sz w:val="20"/>
          <w:szCs w:val="20"/>
        </w:rPr>
        <w:t xml:space="preserve">Use a graceful transfer when the current role holder is online and reachable. The source DC synchronizes its state with the target before handing off the role. This is the preferred and safest method.</w:t>
      </w:r>
    </w:p>
    <w:p>
      <w:pPr>
        <w:spacing w:after="80" w:before="4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7"/>
                <w:szCs w:val="17"/>
              </w:rPr>
              <w:t xml:space="preserve"># Transfer individual roles (replace 'TargetDC' with the target DC hostname)</w:t>
            </w:r>
          </w:p>
          <w:p>
            <w:pPr>
              <w:spacing w:after="40" w:before="0"/>
            </w:pPr>
            <w:r>
              <w:rPr>
                <w:rFonts w:ascii="Courier New" w:cs="Courier New" w:eastAsia="Courier New" w:hAnsi="Courier New"/>
                <w:color w:val="D4D4D4"/>
                <w:sz w:val="17"/>
                <w:szCs w:val="17"/>
              </w:rPr>
              <w:t xml:space="preserve">Move-ADDirectoryServerOperationMasterRole -Identity 'TargetDC' -OperationMasterRole PDCEmulator</w:t>
            </w:r>
          </w:p>
          <w:p>
            <w:pPr>
              <w:spacing w:after="40" w:before="0"/>
            </w:pPr>
            <w:r>
              <w:rPr>
                <w:rFonts w:ascii="Courier New" w:cs="Courier New" w:eastAsia="Courier New" w:hAnsi="Courier New"/>
                <w:color w:val="D4D4D4"/>
                <w:sz w:val="17"/>
                <w:szCs w:val="17"/>
              </w:rPr>
              <w:t xml:space="preserve">Move-ADDirectoryServerOperationMasterRole -Identity 'TargetDC' -OperationMasterRole RIDMaster</w:t>
            </w:r>
          </w:p>
          <w:p>
            <w:pPr>
              <w:spacing w:after="40" w:before="0"/>
            </w:pPr>
            <w:r>
              <w:rPr>
                <w:rFonts w:ascii="Courier New" w:cs="Courier New" w:eastAsia="Courier New" w:hAnsi="Courier New"/>
                <w:color w:val="D4D4D4"/>
                <w:sz w:val="17"/>
                <w:szCs w:val="17"/>
              </w:rPr>
              <w:t xml:space="preserve">Move-ADDirectoryServerOperationMasterRole -Identity 'TargetDC' -OperationMasterRole InfrastructureMaster</w:t>
            </w:r>
          </w:p>
          <w:p>
            <w:pPr>
              <w:spacing w:after="40" w:before="0"/>
            </w:pPr>
            <w:r>
              <w:rPr>
                <w:rFonts w:ascii="Courier New" w:cs="Courier New" w:eastAsia="Courier New" w:hAnsi="Courier New"/>
                <w:color w:val="D4D4D4"/>
                <w:sz w:val="17"/>
                <w:szCs w:val="17"/>
              </w:rPr>
              <w:t xml:space="preserve">Move-ADDirectoryServerOperationMasterRole -Identity 'TargetDC' -OperationMasterRole SchemaMaster</w:t>
            </w:r>
          </w:p>
          <w:p>
            <w:pPr>
              <w:spacing w:after="40" w:before="0"/>
            </w:pPr>
            <w:r>
              <w:rPr>
                <w:rFonts w:ascii="Courier New" w:cs="Courier New" w:eastAsia="Courier New" w:hAnsi="Courier New"/>
                <w:color w:val="D4D4D4"/>
                <w:sz w:val="17"/>
                <w:szCs w:val="17"/>
              </w:rPr>
              <w:t xml:space="preserve">Move-ADDirectoryServerOperationMasterRole -Identity 'TargetDC' -OperationMasterRole DomainNamingMaster</w:t>
            </w:r>
          </w:p>
          <w:p>
            <w:pPr>
              <w:spacing w:after="40" w:before="0"/>
            </w:pPr>
            <w:r>
              <w:rPr>
                <w:rFonts w:ascii="Courier New" w:cs="Courier New" w:eastAsia="Courier New" w:hAnsi="Courier New"/>
                <w:color w:val="D4D4D4"/>
                <w:sz w:val="17"/>
                <w:szCs w:val="17"/>
              </w:rPr>
              <w:t xml:space="preserve"/>
            </w:r>
          </w:p>
          <w:p>
            <w:pPr>
              <w:spacing w:after="40" w:before="0"/>
            </w:pPr>
            <w:r>
              <w:rPr>
                <w:rFonts w:ascii="Courier New" w:cs="Courier New" w:eastAsia="Courier New" w:hAnsi="Courier New"/>
                <w:color w:val="D4D4D4"/>
                <w:sz w:val="17"/>
                <w:szCs w:val="17"/>
              </w:rPr>
              <w:t xml:space="preserve"># Transfer all domain-scoped roles in one command (0=PDC, 1=RID, 2=Infrastructure)</w:t>
            </w:r>
          </w:p>
          <w:p>
            <w:pPr>
              <w:spacing w:after="40" w:before="0"/>
            </w:pPr>
            <w:r>
              <w:rPr>
                <w:rFonts w:ascii="Courier New" w:cs="Courier New" w:eastAsia="Courier New" w:hAnsi="Courier New"/>
                <w:color w:val="D4D4D4"/>
                <w:sz w:val="17"/>
                <w:szCs w:val="17"/>
              </w:rPr>
              <w:t xml:space="preserve">Move-ADDirectoryServerOperationMasterRole -Identity 'TargetDC' -OperationMasterRole 0,1,2</w:t>
            </w:r>
          </w:p>
          <w:p>
            <w:pPr>
              <w:spacing w:after="40" w:before="0"/>
            </w:pPr>
            <w:r>
              <w:rPr>
                <w:rFonts w:ascii="Courier New" w:cs="Courier New" w:eastAsia="Courier New" w:hAnsi="Courier New"/>
                <w:color w:val="D4D4D4"/>
                <w:sz w:val="17"/>
                <w:szCs w:val="17"/>
              </w:rPr>
              <w:t xml:space="preserve"/>
            </w:r>
          </w:p>
          <w:p>
            <w:pPr>
              <w:spacing w:after="40" w:before="0"/>
            </w:pPr>
            <w:r>
              <w:rPr>
                <w:rFonts w:ascii="Courier New" w:cs="Courier New" w:eastAsia="Courier New" w:hAnsi="Courier New"/>
                <w:color w:val="D4D4D4"/>
                <w:sz w:val="17"/>
                <w:szCs w:val="17"/>
              </w:rPr>
              <w:t xml:space="preserve"># Transfer all forest-scoped roles in one command (3=Schema, 4=DomainNaming)</w:t>
            </w:r>
          </w:p>
          <w:p>
            <w:pPr>
              <w:spacing w:after="40" w:before="0"/>
            </w:pPr>
            <w:r>
              <w:rPr>
                <w:rFonts w:ascii="Courier New" w:cs="Courier New" w:eastAsia="Courier New" w:hAnsi="Courier New"/>
                <w:color w:val="D4D4D4"/>
                <w:sz w:val="17"/>
                <w:szCs w:val="17"/>
              </w:rPr>
              <w:t xml:space="preserve">Move-ADDirectoryServerOperationMasterRole -Identity 'TargetDC' -OperationMasterRole 3,4</w:t>
            </w:r>
          </w:p>
          <w:p>
            <w:pPr>
              <w:spacing w:after="40" w:before="0"/>
            </w:pPr>
            <w:r>
              <w:rPr>
                <w:rFonts w:ascii="Courier New" w:cs="Courier New" w:eastAsia="Courier New" w:hAnsi="Courier New"/>
                <w:color w:val="D4D4D4"/>
                <w:sz w:val="17"/>
                <w:szCs w:val="17"/>
              </w:rPr>
              <w:t xml:space="preserve"/>
            </w:r>
          </w:p>
          <w:p>
            <w:pPr>
              <w:spacing w:after="40" w:before="0"/>
            </w:pPr>
            <w:r>
              <w:rPr>
                <w:rFonts w:ascii="Courier New" w:cs="Courier New" w:eastAsia="Courier New" w:hAnsi="Courier New"/>
                <w:color w:val="D4D4D4"/>
                <w:sz w:val="17"/>
                <w:szCs w:val="17"/>
              </w:rPr>
              <w:t xml:space="preserve"># Verify transfer completed successfully</w:t>
            </w:r>
          </w:p>
          <w:p>
            <w:pPr>
              <w:spacing w:after="40" w:before="0"/>
            </w:pPr>
            <w:r>
              <w:rPr>
                <w:rFonts w:ascii="Courier New" w:cs="Courier New" w:eastAsia="Courier New" w:hAnsi="Courier New"/>
                <w:color w:val="D4D4D4"/>
                <w:sz w:val="17"/>
                <w:szCs w:val="17"/>
              </w:rPr>
              <w:t xml:space="preserve">netdom query fsmo</w:t>
            </w:r>
          </w:p>
        </w:tc>
      </w:tr>
    </w:tbl>
    <w:p>
      <w:pPr>
        <w:spacing w:after="80" w:before="200"/>
      </w:pPr>
      <w:r>
        <w:t xml:space="preserve"/>
      </w:r>
    </w:p>
    <w:p>
      <w:pPr>
        <w:pBdr>
          <w:bottom w:val="single" w:color="2E75B6" w:sz="4" w:space="4"/>
        </w:pBdr>
        <w:spacing w:after="100" w:before="320"/>
      </w:pPr>
      <w:r>
        <w:rPr>
          <w:rFonts w:ascii="Arial" w:cs="Arial" w:eastAsia="Arial" w:hAnsi="Arial"/>
          <w:b/>
          <w:bCs/>
          <w:color w:val="1F3864"/>
          <w:sz w:val="26"/>
          <w:szCs w:val="26"/>
        </w:rPr>
        <w:t xml:space="preserve">Emergency Seizure (Source DC Offline or Failed)</w:t>
      </w:r>
    </w:p>
    <w:p>
      <w:pPr>
        <w:pBdr>
          <w:left w:val="single" w:color="E65100" w:sz="20" w:space="8"/>
        </w:pBdr>
        <w:shd w:fill="FFF8E1" w:val="clear"/>
        <w:spacing w:after="120" w:before="120"/>
        <w:ind w:left="360"/>
      </w:pPr>
      <w:r>
        <w:rPr>
          <w:rFonts w:ascii="Arial" w:cs="Arial" w:eastAsia="Arial" w:hAnsi="Arial"/>
          <w:b/>
          <w:bCs/>
          <w:color w:val="E65100"/>
          <w:sz w:val="19"/>
          <w:szCs w:val="19"/>
        </w:rPr>
        <w:t xml:space="preserve">WARNING: </w:t>
      </w:r>
      <w:r>
        <w:rPr>
          <w:rFonts w:ascii="Arial" w:cs="Arial" w:eastAsia="Arial" w:hAnsi="Arial"/>
          <w:color w:val="5D4037"/>
          <w:sz w:val="19"/>
          <w:szCs w:val="19"/>
        </w:rPr>
        <w:t xml:space="preserve">After seizing FSMO roles, the original role holder must NEVER be brought back online without first demoting it or permanently removing it from the domain. Restoring a former role holder to operation with roles it no longer owns corruates AD and causes unpredictable domain behavior. Treat the former role holder as decommissioned once a seize operation is complete.</w:t>
      </w:r>
    </w:p>
    <w:p>
      <w:pPr>
        <w:spacing w:after="60" w:before="80"/>
      </w:pPr>
      <w:r>
        <w:t xml:space="preserve"/>
      </w:r>
    </w:p>
    <w:p>
      <w:pPr>
        <w:spacing w:after="80" w:before="60"/>
      </w:pPr>
      <w:r>
        <w:rPr>
          <w:rFonts w:ascii="Arial" w:cs="Arial" w:eastAsia="Arial" w:hAnsi="Arial"/>
          <w:color w:val="1F1F1F"/>
          <w:sz w:val="20"/>
          <w:szCs w:val="20"/>
        </w:rPr>
        <w:t xml:space="preserve">Seizure forcibly assumes a FSMO role without coordination with the previous holder. Use only when the current role holder is confirmed offline or unrecoverable. Both PowerShell and ntdsutil methods are provided.</w:t>
      </w:r>
    </w:p>
    <w:p>
      <w:pPr>
        <w:spacing w:after="80" w:before="60"/>
      </w:pPr>
      <w:r>
        <w:t xml:space="preserve"/>
      </w:r>
    </w:p>
    <w:p>
      <w:pPr>
        <w:spacing w:after="60" w:before="60"/>
      </w:pPr>
      <w:r>
        <w:rPr>
          <w:rFonts w:ascii="Arial" w:cs="Arial" w:eastAsia="Arial" w:hAnsi="Arial"/>
          <w:b/>
          <w:bCs/>
          <w:color w:val="1F3864"/>
          <w:sz w:val="19"/>
          <w:szCs w:val="19"/>
        </w:rPr>
        <w:t xml:space="preserve">PowerShell Seizure: </w:t>
      </w:r>
      <w:r>
        <w:rPr>
          <w:rFonts w:ascii="Arial" w:cs="Arial" w:eastAsia="Arial" w:hAnsi="Arial"/>
          <w:color w:val="1F1F1F"/>
          <w:sz w:val="19"/>
          <w:szCs w:val="19"/>
        </w:rPr>
        <w:t xml:space="preserve">Add the -Force switch to the standard transfer command:</w:t>
      </w:r>
    </w:p>
    <w:p>
      <w:pPr>
        <w:spacing w:after="40" w:before="4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7"/>
                <w:szCs w:val="17"/>
              </w:rPr>
              <w:t xml:space="preserve"># Seize with PowerShell (-Force bypasses the graceful transfer handshake)</w:t>
            </w:r>
          </w:p>
          <w:p>
            <w:pPr>
              <w:spacing w:after="40" w:before="0"/>
            </w:pPr>
            <w:r>
              <w:rPr>
                <w:rFonts w:ascii="Courier New" w:cs="Courier New" w:eastAsia="Courier New" w:hAnsi="Courier New"/>
                <w:color w:val="D4D4D4"/>
                <w:sz w:val="17"/>
                <w:szCs w:val="17"/>
              </w:rPr>
              <w:t xml:space="preserve">Move-ADDirectoryServerOperationMasterRole -Identity 'TargetDC' -OperationMasterRole PDCEmulator      -Force</w:t>
            </w:r>
          </w:p>
          <w:p>
            <w:pPr>
              <w:spacing w:after="40" w:before="0"/>
            </w:pPr>
            <w:r>
              <w:rPr>
                <w:rFonts w:ascii="Courier New" w:cs="Courier New" w:eastAsia="Courier New" w:hAnsi="Courier New"/>
                <w:color w:val="D4D4D4"/>
                <w:sz w:val="17"/>
                <w:szCs w:val="17"/>
              </w:rPr>
              <w:t xml:space="preserve">Move-ADDirectoryServerOperationMasterRole -Identity 'TargetDC' -OperationMasterRole RIDMaster         -Force</w:t>
            </w:r>
          </w:p>
          <w:p>
            <w:pPr>
              <w:spacing w:after="40" w:before="0"/>
            </w:pPr>
            <w:r>
              <w:rPr>
                <w:rFonts w:ascii="Courier New" w:cs="Courier New" w:eastAsia="Courier New" w:hAnsi="Courier New"/>
                <w:color w:val="D4D4D4"/>
                <w:sz w:val="17"/>
                <w:szCs w:val="17"/>
              </w:rPr>
              <w:t xml:space="preserve">Move-ADDirectoryServerOperationMasterRole -Identity 'TargetDC' -OperationMasterRole InfrastructureMaster -Force</w:t>
            </w:r>
          </w:p>
          <w:p>
            <w:pPr>
              <w:spacing w:after="40" w:before="0"/>
            </w:pPr>
            <w:r>
              <w:rPr>
                <w:rFonts w:ascii="Courier New" w:cs="Courier New" w:eastAsia="Courier New" w:hAnsi="Courier New"/>
                <w:color w:val="D4D4D4"/>
                <w:sz w:val="17"/>
                <w:szCs w:val="17"/>
              </w:rPr>
              <w:t xml:space="preserve">Move-ADDirectoryServerOperationMasterRole -Identity 'TargetDC' -OperationMasterRole SchemaMaster       -Force</w:t>
            </w:r>
          </w:p>
          <w:p>
            <w:pPr>
              <w:spacing w:after="40" w:before="0"/>
            </w:pPr>
            <w:r>
              <w:rPr>
                <w:rFonts w:ascii="Courier New" w:cs="Courier New" w:eastAsia="Courier New" w:hAnsi="Courier New"/>
                <w:color w:val="D4D4D4"/>
                <w:sz w:val="17"/>
                <w:szCs w:val="17"/>
              </w:rPr>
              <w:t xml:space="preserve">Move-ADDirectoryServerOperationMasterRole -Identity 'TargetDC' -OperationMasterRole DomainNamingMaster -Force</w:t>
            </w:r>
          </w:p>
        </w:tc>
      </w:tr>
    </w:tbl>
    <w:p>
      <w:pPr>
        <w:spacing w:after="60" w:before="120"/>
      </w:pPr>
      <w:r>
        <w:t xml:space="preserve"/>
      </w:r>
    </w:p>
    <w:p>
      <w:pPr>
        <w:spacing w:after="60" w:before="60"/>
      </w:pPr>
      <w:r>
        <w:rPr>
          <w:rFonts w:ascii="Arial" w:cs="Arial" w:eastAsia="Arial" w:hAnsi="Arial"/>
          <w:b/>
          <w:bCs/>
          <w:color w:val="1F3864"/>
          <w:sz w:val="19"/>
          <w:szCs w:val="19"/>
        </w:rPr>
        <w:t xml:space="preserve">ntdsutil Seizure: </w:t>
      </w:r>
      <w:r>
        <w:rPr>
          <w:rFonts w:ascii="Arial" w:cs="Arial" w:eastAsia="Arial" w:hAnsi="Arial"/>
          <w:color w:val="1F1F1F"/>
          <w:sz w:val="19"/>
          <w:szCs w:val="19"/>
        </w:rPr>
        <w:t xml:space="preserve">Run on the target DC (the server that will assume the roles):</w:t>
      </w:r>
    </w:p>
    <w:p>
      <w:pPr>
        <w:spacing w:after="40" w:before="4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7"/>
                <w:szCs w:val="17"/>
              </w:rPr>
              <w:t xml:space="preserve">ntdsutil</w:t>
            </w:r>
          </w:p>
          <w:p>
            <w:pPr>
              <w:spacing w:after="40" w:before="0"/>
            </w:pPr>
            <w:r>
              <w:rPr>
                <w:rFonts w:ascii="Courier New" w:cs="Courier New" w:eastAsia="Courier New" w:hAnsi="Courier New"/>
                <w:color w:val="D4D4D4"/>
                <w:sz w:val="17"/>
                <w:szCs w:val="17"/>
              </w:rPr>
              <w:t xml:space="preserve">  activate instance ntds</w:t>
            </w:r>
          </w:p>
          <w:p>
            <w:pPr>
              <w:spacing w:after="40" w:before="0"/>
            </w:pPr>
            <w:r>
              <w:rPr>
                <w:rFonts w:ascii="Courier New" w:cs="Courier New" w:eastAsia="Courier New" w:hAnsi="Courier New"/>
                <w:color w:val="D4D4D4"/>
                <w:sz w:val="17"/>
                <w:szCs w:val="17"/>
              </w:rPr>
              <w:t xml:space="preserve">  roles</w:t>
            </w:r>
          </w:p>
          <w:p>
            <w:pPr>
              <w:spacing w:after="40" w:before="0"/>
            </w:pPr>
            <w:r>
              <w:rPr>
                <w:rFonts w:ascii="Courier New" w:cs="Courier New" w:eastAsia="Courier New" w:hAnsi="Courier New"/>
                <w:color w:val="D4D4D4"/>
                <w:sz w:val="17"/>
                <w:szCs w:val="17"/>
              </w:rPr>
              <w:t xml:space="preserve">    connections</w:t>
            </w:r>
          </w:p>
          <w:p>
            <w:pPr>
              <w:spacing w:after="40" w:before="0"/>
            </w:pPr>
            <w:r>
              <w:rPr>
                <w:rFonts w:ascii="Courier New" w:cs="Courier New" w:eastAsia="Courier New" w:hAnsi="Courier New"/>
                <w:color w:val="D4D4D4"/>
                <w:sz w:val="17"/>
                <w:szCs w:val="17"/>
              </w:rPr>
              <w:t xml:space="preserve">      connect to server TargetDC.domain.local</w:t>
            </w:r>
          </w:p>
          <w:p>
            <w:pPr>
              <w:spacing w:after="40" w:before="0"/>
            </w:pPr>
            <w:r>
              <w:rPr>
                <w:rFonts w:ascii="Courier New" w:cs="Courier New" w:eastAsia="Courier New" w:hAnsi="Courier New"/>
                <w:color w:val="D4D4D4"/>
                <w:sz w:val="17"/>
                <w:szCs w:val="17"/>
              </w:rPr>
              <w:t xml:space="preserve">    quit</w:t>
            </w:r>
          </w:p>
          <w:p>
            <w:pPr>
              <w:spacing w:after="40" w:before="0"/>
            </w:pPr>
            <w:r>
              <w:rPr>
                <w:rFonts w:ascii="Courier New" w:cs="Courier New" w:eastAsia="Courier New" w:hAnsi="Courier New"/>
                <w:color w:val="D4D4D4"/>
                <w:sz w:val="17"/>
                <w:szCs w:val="17"/>
              </w:rPr>
              <w:t xml:space="preserve">    seize pdc</w:t>
            </w:r>
          </w:p>
          <w:p>
            <w:pPr>
              <w:spacing w:after="40" w:before="0"/>
            </w:pPr>
            <w:r>
              <w:rPr>
                <w:rFonts w:ascii="Courier New" w:cs="Courier New" w:eastAsia="Courier New" w:hAnsi="Courier New"/>
                <w:color w:val="D4D4D4"/>
                <w:sz w:val="17"/>
                <w:szCs w:val="17"/>
              </w:rPr>
              <w:t xml:space="preserve">    seize rid master</w:t>
            </w:r>
          </w:p>
          <w:p>
            <w:pPr>
              <w:spacing w:after="40" w:before="0"/>
            </w:pPr>
            <w:r>
              <w:rPr>
                <w:rFonts w:ascii="Courier New" w:cs="Courier New" w:eastAsia="Courier New" w:hAnsi="Courier New"/>
                <w:color w:val="D4D4D4"/>
                <w:sz w:val="17"/>
                <w:szCs w:val="17"/>
              </w:rPr>
              <w:t xml:space="preserve">    seize infrastructure master</w:t>
            </w:r>
          </w:p>
          <w:p>
            <w:pPr>
              <w:spacing w:after="40" w:before="0"/>
            </w:pPr>
            <w:r>
              <w:rPr>
                <w:rFonts w:ascii="Courier New" w:cs="Courier New" w:eastAsia="Courier New" w:hAnsi="Courier New"/>
                <w:color w:val="D4D4D4"/>
                <w:sz w:val="17"/>
                <w:szCs w:val="17"/>
              </w:rPr>
              <w:t xml:space="preserve">    seize schema master</w:t>
            </w:r>
          </w:p>
          <w:p>
            <w:pPr>
              <w:spacing w:after="40" w:before="0"/>
            </w:pPr>
            <w:r>
              <w:rPr>
                <w:rFonts w:ascii="Courier New" w:cs="Courier New" w:eastAsia="Courier New" w:hAnsi="Courier New"/>
                <w:color w:val="D4D4D4"/>
                <w:sz w:val="17"/>
                <w:szCs w:val="17"/>
              </w:rPr>
              <w:t xml:space="preserve">    seize domain naming master</w:t>
            </w:r>
          </w:p>
          <w:p>
            <w:pPr>
              <w:spacing w:after="40" w:before="0"/>
            </w:pPr>
            <w:r>
              <w:rPr>
                <w:rFonts w:ascii="Courier New" w:cs="Courier New" w:eastAsia="Courier New" w:hAnsi="Courier New"/>
                <w:color w:val="D4D4D4"/>
                <w:sz w:val="17"/>
                <w:szCs w:val="17"/>
              </w:rPr>
              <w:t xml:space="preserve">  quit</w:t>
            </w:r>
          </w:p>
          <w:p>
            <w:pPr>
              <w:spacing w:after="40" w:before="0"/>
            </w:pPr>
            <w:r>
              <w:rPr>
                <w:rFonts w:ascii="Courier New" w:cs="Courier New" w:eastAsia="Courier New" w:hAnsi="Courier New"/>
                <w:color w:val="D4D4D4"/>
                <w:sz w:val="17"/>
                <w:szCs w:val="17"/>
              </w:rPr>
              <w:t xml:space="preserve">quit</w:t>
            </w:r>
          </w:p>
          <w:p>
            <w:pPr>
              <w:spacing w:after="40" w:before="0"/>
            </w:pPr>
            <w:r>
              <w:rPr>
                <w:rFonts w:ascii="Courier New" w:cs="Courier New" w:eastAsia="Courier New" w:hAnsi="Courier New"/>
                <w:color w:val="D4D4D4"/>
                <w:sz w:val="17"/>
                <w:szCs w:val="17"/>
              </w:rPr>
              <w:t xml:space="preserve"/>
            </w:r>
          </w:p>
          <w:p>
            <w:pPr>
              <w:spacing w:after="40" w:before="0"/>
            </w:pPr>
            <w:r>
              <w:rPr>
                <w:rFonts w:ascii="Courier New" w:cs="Courier New" w:eastAsia="Courier New" w:hAnsi="Courier New"/>
                <w:color w:val="D4D4D4"/>
                <w:sz w:val="17"/>
                <w:szCs w:val="17"/>
              </w:rPr>
              <w:t xml:space="preserve"># Verify all roles now report to TargetDC</w:t>
            </w:r>
          </w:p>
          <w:p>
            <w:pPr>
              <w:spacing w:after="40" w:before="0"/>
            </w:pPr>
            <w:r>
              <w:rPr>
                <w:rFonts w:ascii="Courier New" w:cs="Courier New" w:eastAsia="Courier New" w:hAnsi="Courier New"/>
                <w:color w:val="D4D4D4"/>
                <w:sz w:val="17"/>
                <w:szCs w:val="17"/>
              </w:rPr>
              <w:t xml:space="preserve">netdom query fsmo</w:t>
            </w:r>
          </w:p>
        </w:tc>
      </w:tr>
    </w:tbl>
    <w:p>
      <w:pPr>
        <w:spacing w:after="80" w:before="200"/>
      </w:pPr>
      <w:r>
        <w:t xml:space="preserve"/>
      </w:r>
    </w:p>
    <w:p>
      <w:pPr>
        <w:pBdr>
          <w:bottom w:val="single" w:color="2E75B6" w:sz="4" w:space="4"/>
        </w:pBdr>
        <w:spacing w:after="100" w:before="320"/>
      </w:pPr>
      <w:r>
        <w:rPr>
          <w:rFonts w:ascii="Arial" w:cs="Arial" w:eastAsia="Arial" w:hAnsi="Arial"/>
          <w:b/>
          <w:bCs/>
          <w:color w:val="1F3864"/>
          <w:sz w:val="26"/>
          <w:szCs w:val="26"/>
        </w:rPr>
        <w:t xml:space="preserve">Placement and Operational Best Practices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none" w:color="FFFFFF" w:sz="0"/>
              <w:left w:val="single" w:color="2E75B6" w:sz="16"/>
              <w:bottom w:val="none" w:color="FFFFFF" w:sz="0"/>
              <w:right w:val="none" w:color="FFFFFF" w:sz="0"/>
            </w:tcBorders>
            <w:shd w:fill="E8F4FD" w:val="clear"/>
            <w:tcMar>
              <w:top w:type="dxa" w:w="120"/>
              <w:left w:type="dxa" w:w="200"/>
              <w:bottom w:type="dxa" w:w="120"/>
              <w:right w:type="dxa" w:w="200"/>
            </w:tcMar>
          </w:tcPr>
          <w:p>
            <w:pPr>
              <w:spacing w:after="40" w:before="40"/>
              <w:ind w:left="360" w:hanging="280"/>
            </w:pPr>
            <w:r>
              <w:rPr>
                <w:rFonts w:ascii="Arial" w:cs="Arial" w:eastAsia="Arial" w:hAnsi="Arial"/>
                <w:b/>
                <w:bCs/>
                <w:color w:val="2E75B6"/>
                <w:sz w:val="18"/>
                <w:szCs w:val="18"/>
              </w:rPr>
              <w:t xml:space="preserve">▸  </w:t>
            </w:r>
            <w:r>
              <w:rPr>
                <w:rFonts w:ascii="Arial" w:cs="Arial" w:eastAsia="Arial" w:hAnsi="Arial"/>
                <w:color w:val="1F1F1F"/>
                <w:sz w:val="18"/>
                <w:szCs w:val="18"/>
              </w:rPr>
              <w:t xml:space="preserve">PDC Emulator: Place on the highest-uptime, best-connected DC in the domain. This DC should point its own NTP client to a trusted external time source (e.g., time.windows.com or a dedicated GPS NTP appliance). All other DCs sync to the PDC Emulator.</w:t>
            </w:r>
          </w:p>
          <w:p>
            <w:pPr>
              <w:spacing w:after="40" w:before="40"/>
              <w:ind w:left="360" w:hanging="280"/>
            </w:pPr>
            <w:r>
              <w:rPr>
                <w:rFonts w:ascii="Arial" w:cs="Arial" w:eastAsia="Arial" w:hAnsi="Arial"/>
                <w:b/>
                <w:bCs/>
                <w:color w:val="2E75B6"/>
                <w:sz w:val="18"/>
                <w:szCs w:val="18"/>
              </w:rPr>
              <w:t xml:space="preserve">▸  </w:t>
            </w:r>
            <w:r>
              <w:rPr>
                <w:rFonts w:ascii="Arial" w:cs="Arial" w:eastAsia="Arial" w:hAnsi="Arial"/>
                <w:color w:val="1F1F1F"/>
                <w:sz w:val="18"/>
                <w:szCs w:val="18"/>
              </w:rPr>
              <w:t xml:space="preserve">Schema Master and Domain Naming Master: Can be co-located on the same DC in the forest root domain. Both roles are rarely exercised — place them on a well-protected DC and restrict Schema Admins and Enterprise Admins access to it.</w:t>
            </w:r>
          </w:p>
          <w:p>
            <w:pPr>
              <w:spacing w:after="40" w:before="40"/>
              <w:ind w:left="360" w:hanging="280"/>
            </w:pPr>
            <w:r>
              <w:rPr>
                <w:rFonts w:ascii="Arial" w:cs="Arial" w:eastAsia="Arial" w:hAnsi="Arial"/>
                <w:b/>
                <w:bCs/>
                <w:color w:val="2E75B6"/>
                <w:sz w:val="18"/>
                <w:szCs w:val="18"/>
              </w:rPr>
              <w:t xml:space="preserve">▸  </w:t>
            </w:r>
            <w:r>
              <w:rPr>
                <w:rFonts w:ascii="Arial" w:cs="Arial" w:eastAsia="Arial" w:hAnsi="Arial"/>
                <w:color w:val="1F1F1F"/>
                <w:sz w:val="18"/>
                <w:szCs w:val="18"/>
              </w:rPr>
              <w:t xml:space="preserve">RID Master: Place on a reliable, well-replicated DC. Monitor the rIDAvailablePool attribute on CN=RID Manager$,CN=System,DC= periodically. Alert if remaining RID pool approaches a threshold indicating unusually high consumption.</w:t>
            </w:r>
          </w:p>
          <w:p>
            <w:pPr>
              <w:spacing w:after="40" w:before="40"/>
              <w:ind w:left="360" w:hanging="280"/>
            </w:pPr>
            <w:r>
              <w:rPr>
                <w:rFonts w:ascii="Arial" w:cs="Arial" w:eastAsia="Arial" w:hAnsi="Arial"/>
                <w:b/>
                <w:bCs/>
                <w:color w:val="2E75B6"/>
                <w:sz w:val="18"/>
                <w:szCs w:val="18"/>
              </w:rPr>
              <w:t xml:space="preserve">▸  </w:t>
            </w:r>
            <w:r>
              <w:rPr>
                <w:rFonts w:ascii="Arial" w:cs="Arial" w:eastAsia="Arial" w:hAnsi="Arial"/>
                <w:color w:val="1F1F1F"/>
                <w:sz w:val="18"/>
                <w:szCs w:val="18"/>
              </w:rPr>
              <w:t xml:space="preserve">Infrastructure Master: In multi-domain forests, do NOT place on a Global Catalog (GC) server unless all DCs in the domain are also GC servers. Incorrect placement causes phantom object update failures. In single-domain forests or all-GC environments, placement has no functional restriction.</w:t>
            </w:r>
          </w:p>
          <w:p>
            <w:pPr>
              <w:spacing w:after="40" w:before="40"/>
              <w:ind w:left="360" w:hanging="280"/>
            </w:pPr>
            <w:r>
              <w:rPr>
                <w:rFonts w:ascii="Arial" w:cs="Arial" w:eastAsia="Arial" w:hAnsi="Arial"/>
                <w:b/>
                <w:bCs/>
                <w:color w:val="2E75B6"/>
                <w:sz w:val="18"/>
                <w:szCs w:val="18"/>
              </w:rPr>
              <w:t xml:space="preserve">▸  </w:t>
            </w:r>
            <w:r>
              <w:rPr>
                <w:rFonts w:ascii="Arial" w:cs="Arial" w:eastAsia="Arial" w:hAnsi="Arial"/>
                <w:color w:val="1F1F1F"/>
                <w:sz w:val="18"/>
                <w:szCs w:val="18"/>
              </w:rPr>
              <w:t xml:space="preserve">Document FSMO role holders in your CMDB and review ownership quarterly. Include FSMO role verification in your monthly DC health check runbook.</w:t>
            </w:r>
          </w:p>
          <w:p>
            <w:pPr>
              <w:spacing w:after="40" w:before="40"/>
              <w:ind w:left="360" w:hanging="280"/>
            </w:pPr>
            <w:r>
              <w:rPr>
                <w:rFonts w:ascii="Arial" w:cs="Arial" w:eastAsia="Arial" w:hAnsi="Arial"/>
                <w:b/>
                <w:bCs/>
                <w:color w:val="2E75B6"/>
                <w:sz w:val="18"/>
                <w:szCs w:val="18"/>
              </w:rPr>
              <w:t xml:space="preserve">▸  </w:t>
            </w:r>
            <w:r>
              <w:rPr>
                <w:rFonts w:ascii="Arial" w:cs="Arial" w:eastAsia="Arial" w:hAnsi="Arial"/>
                <w:color w:val="1F1F1F"/>
                <w:sz w:val="18"/>
                <w:szCs w:val="18"/>
              </w:rPr>
              <w:t xml:space="preserve">After any planned DC decommission, transfer all FSMO roles to a healthy DC before initiating the demotion. Verify with netdom query fsmo. Never demote a DC that still holds a FSMO role without a deliberate transfer.</w:t>
            </w:r>
          </w:p>
          <w:p>
            <w:pPr>
              <w:spacing w:after="40" w:before="40"/>
              <w:ind w:left="360" w:hanging="280"/>
            </w:pPr>
            <w:r>
              <w:rPr>
                <w:rFonts w:ascii="Arial" w:cs="Arial" w:eastAsia="Arial" w:hAnsi="Arial"/>
                <w:b/>
                <w:bCs/>
                <w:color w:val="2E75B6"/>
                <w:sz w:val="18"/>
                <w:szCs w:val="18"/>
              </w:rPr>
              <w:t xml:space="preserve">▸  </w:t>
            </w:r>
            <w:r>
              <w:rPr>
                <w:rFonts w:ascii="Arial" w:cs="Arial" w:eastAsia="Arial" w:hAnsi="Arial"/>
                <w:color w:val="1F1F1F"/>
                <w:sz w:val="18"/>
                <w:szCs w:val="18"/>
              </w:rPr>
              <w:t xml:space="preserve">Treat all FSMO role holders as Tier 0 assets. Apply the same privileged access controls, dedicated monitoring, and PAW administration requirements as you would to the PDC Emulator.</w:t>
            </w:r>
          </w:p>
        </w:tc>
      </w:tr>
    </w:tbl>
    <w:p>
      <w:pPr>
        <w:spacing w:after="80" w:before="200"/>
      </w:pPr>
      <w:r>
        <w:t xml:space="preserve"/>
      </w:r>
    </w:p>
    <w:p>
      <w:pPr>
        <w:pBdr>
          <w:bottom w:val="single" w:color="2E75B6" w:sz="4" w:space="4"/>
        </w:pBdr>
        <w:spacing w:after="100" w:before="320"/>
      </w:pPr>
      <w:r>
        <w:rPr>
          <w:rFonts w:ascii="Arial" w:cs="Arial" w:eastAsia="Arial" w:hAnsi="Arial"/>
          <w:b/>
          <w:bCs/>
          <w:color w:val="1F3864"/>
          <w:sz w:val="26"/>
          <w:szCs w:val="26"/>
        </w:rPr>
        <w:t xml:space="preserve">PowerShell OperationMasterRole Integer Reference</w:t>
      </w:r>
    </w:p>
    <w:p>
      <w:pPr>
        <w:spacing w:after="80" w:before="60"/>
      </w:pPr>
      <w:r>
        <w:rPr>
          <w:rFonts w:ascii="Arial" w:cs="Arial" w:eastAsia="Arial" w:hAnsi="Arial"/>
          <w:color w:val="1F1F1F"/>
          <w:sz w:val="20"/>
          <w:szCs w:val="20"/>
        </w:rPr>
        <w:t xml:space="preserve">The Move-ADDirectoryServerOperationMasterRole cmdlet accepts either role names or the following integer values when passing multiple roles in a single command:</w:t>
      </w:r>
    </w:p>
    <w:p>
      <w:pPr>
        <w:spacing w:after="60" w:before="40"/>
      </w:pPr>
      <w:r>
        <w:t xml:space="preserve"/>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00"/>
      </w:tblGrid>
      <w:tr>
        <w:trPr>
          <w:tblHeader/>
        </w:trPr>
        <w:tc>
          <w:tcPr>
            <w:tcW w:type="dxa" w:w="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Role Name</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Scope</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1F3864"/>
                <w:sz w:val="19"/>
                <w:szCs w:val="19"/>
              </w:rPr>
              <w:t xml:space="preserve">0</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1F1F"/>
                <w:sz w:val="19"/>
                <w:szCs w:val="19"/>
              </w:rPr>
              <w:t xml:space="preserve">PDCEmulator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F1F1F"/>
                <w:sz w:val="19"/>
                <w:szCs w:val="19"/>
              </w:rPr>
              <w:t xml:space="preserve">Domain</w:t>
            </w:r>
          </w:p>
        </w:tc>
      </w:tr>
      <w:tr>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Courier New" w:cs="Courier New" w:eastAsia="Courier New" w:hAnsi="Courier New"/>
                <w:b/>
                <w:bCs/>
                <w:color w:val="1F3864"/>
                <w:sz w:val="19"/>
                <w:szCs w:val="19"/>
              </w:rPr>
              <w:t xml:space="preserve">1</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Courier New" w:cs="Courier New" w:eastAsia="Courier New" w:hAnsi="Courier New"/>
                <w:color w:val="1F1F1F"/>
                <w:sz w:val="19"/>
                <w:szCs w:val="19"/>
              </w:rPr>
              <w:t xml:space="preserve">RIDMaster</w:t>
            </w:r>
          </w:p>
        </w:tc>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color w:val="1F1F1F"/>
                <w:sz w:val="19"/>
                <w:szCs w:val="19"/>
              </w:rPr>
              <w:t xml:space="preserve">Domain</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1F3864"/>
                <w:sz w:val="19"/>
                <w:szCs w:val="19"/>
              </w:rPr>
              <w:t xml:space="preserve">2</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1F1F"/>
                <w:sz w:val="19"/>
                <w:szCs w:val="19"/>
              </w:rPr>
              <w:t xml:space="preserve">InfrastructureMaster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F1F1F"/>
                <w:sz w:val="19"/>
                <w:szCs w:val="19"/>
              </w:rPr>
              <w:t xml:space="preserve">Domain</w:t>
            </w:r>
          </w:p>
        </w:tc>
      </w:tr>
      <w:tr>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Courier New" w:cs="Courier New" w:eastAsia="Courier New" w:hAnsi="Courier New"/>
                <w:b/>
                <w:bCs/>
                <w:color w:val="1F3864"/>
                <w:sz w:val="19"/>
                <w:szCs w:val="19"/>
              </w:rPr>
              <w:t xml:space="preserve">3</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Courier New" w:cs="Courier New" w:eastAsia="Courier New" w:hAnsi="Courier New"/>
                <w:color w:val="1F1F1F"/>
                <w:sz w:val="19"/>
                <w:szCs w:val="19"/>
              </w:rPr>
              <w:t xml:space="preserve">SchemaMaster</w:t>
            </w:r>
          </w:p>
        </w:tc>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color w:val="1F1F1F"/>
                <w:sz w:val="19"/>
                <w:szCs w:val="19"/>
              </w:rPr>
              <w:t xml:space="preserve">Forest</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1F3864"/>
                <w:sz w:val="19"/>
                <w:szCs w:val="19"/>
              </w:rPr>
              <w:t xml:space="preserve">4</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1F1F"/>
                <w:sz w:val="19"/>
                <w:szCs w:val="19"/>
              </w:rPr>
              <w:t xml:space="preserve">DomainNamingMaster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F1F1F"/>
                <w:sz w:val="19"/>
                <w:szCs w:val="19"/>
              </w:rPr>
              <w:t xml:space="preserve">Forest</w:t>
            </w:r>
          </w:p>
        </w:tc>
      </w:tr>
    </w:tbl>
    <w:p>
      <w:pPr>
        <w:spacing w:after="0" w:before="200"/>
      </w:pPr>
      <w:r>
        <w:t xml:space="preserve"/>
      </w:r>
    </w:p>
    <w:p>
      <w:pPr>
        <w:spacing w:after="0" w:before="0"/>
      </w:pPr>
      <w:r>
        <w:rPr>
          <w:rFonts w:ascii="Arial" w:cs="Arial" w:eastAsia="Arial" w:hAnsi="Arial"/>
          <w:i/>
          <w:iCs/>
          <w:color w:val="777777"/>
          <w:sz w:val="16"/>
          <w:szCs w:val="16"/>
        </w:rPr>
        <w:t xml:space="preserve">Sources: Microsoft FSMO Roles documentation (MS-ADTS); DISA STIG for Active Directory Domain Services; MITRE ATT&amp;CK T1136 (Create Account), T1207 (Rogue Domain Controller), T1484 (Domain Policy Modification); NIST SP 800-53 AC-6 (Least Privilege).</w:t>
      </w:r>
    </w:p>
    <w:sectPr>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0"/>
      <w:outlineLvl w:val="0"/>
    </w:pPr>
    <w:rPr>
      <w:rFonts w:ascii="Arial" w:cs="Arial" w:eastAsia="Arial" w:hAnsi="Arial"/>
      <w:b/>
      <w:bCs/>
      <w:color w:val="1F386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2026-06-22T11:41:14.656Z</dcterms:created>
  <dcterms:modified xsi:type="dcterms:W3CDTF">2026-06-22T11:41:14.668Z</dcterms:modified>
</cp:coreProperties>
</file>

<file path=docProps/custom.xml><?xml version="1.0" encoding="utf-8"?>
<Properties xmlns="http://schemas.openxmlformats.org/officeDocument/2006/custom-properties" xmlns:vt="http://schemas.openxmlformats.org/officeDocument/2006/docPropsVTypes"/>
</file>