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67012" w14:textId="56A0DBAF" w:rsidR="00B56D90" w:rsidRPr="00B56D90" w:rsidRDefault="00B56D90" w:rsidP="00B56D90">
      <w:pPr>
        <w:pStyle w:val="Heading1"/>
        <w:rPr>
          <w:b/>
          <w:bCs/>
        </w:rPr>
      </w:pPr>
      <w:r w:rsidRPr="00B56D90">
        <w:rPr>
          <w:b/>
          <w:bCs/>
        </w:rPr>
        <w:t>CHAPTER 1</w:t>
      </w:r>
      <w:r>
        <w:rPr>
          <w:b/>
          <w:bCs/>
        </w:rPr>
        <w:br/>
      </w:r>
      <w:r w:rsidRPr="00B56D90">
        <w:rPr>
          <w:b/>
          <w:bCs/>
        </w:rPr>
        <w:t>Foundations of Identity Security: Active Directory, FICAM, and the Modern Enterprise</w:t>
      </w:r>
    </w:p>
    <w:p w14:paraId="4A478453" w14:textId="77777777" w:rsidR="003D50DA" w:rsidRPr="00895654" w:rsidRDefault="003D50DA" w:rsidP="003D50DA">
      <w:pPr>
        <w:pStyle w:val="ListParagraph"/>
        <w:numPr>
          <w:ilvl w:val="0"/>
          <w:numId w:val="3"/>
        </w:numPr>
        <w:rPr>
          <w:b/>
          <w:bCs/>
          <w:color w:val="FF0066"/>
        </w:rPr>
      </w:pPr>
      <w:r w:rsidRPr="00895654">
        <w:rPr>
          <w:b/>
          <w:bCs/>
          <w:color w:val="FF0066"/>
        </w:rPr>
        <w:t>Chapter Title</w:t>
      </w:r>
    </w:p>
    <w:p w14:paraId="34AC451C" w14:textId="77777777" w:rsidR="003D50DA" w:rsidRDefault="003D50DA" w:rsidP="003D50DA">
      <w:pPr>
        <w:pStyle w:val="ListParagraph"/>
        <w:rPr>
          <w:b/>
          <w:bCs/>
        </w:rPr>
      </w:pPr>
      <w:r>
        <w:rPr>
          <w:b/>
          <w:bCs/>
        </w:rPr>
        <w:t>Foundations of Identity Security: Active Directory, FICAM, and the Modern Enterprise</w:t>
      </w:r>
    </w:p>
    <w:p w14:paraId="4FE41EA9" w14:textId="77777777" w:rsidR="003D50DA" w:rsidRPr="00895654" w:rsidRDefault="003D50DA" w:rsidP="003D50DA">
      <w:pPr>
        <w:pStyle w:val="ListParagraph"/>
        <w:rPr>
          <w:b/>
          <w:bCs/>
        </w:rPr>
      </w:pPr>
    </w:p>
    <w:p w14:paraId="7D790AEA" w14:textId="77777777" w:rsidR="003D50DA" w:rsidRPr="00895654" w:rsidRDefault="003D50DA" w:rsidP="003D50DA">
      <w:pPr>
        <w:pStyle w:val="ListParagraph"/>
        <w:numPr>
          <w:ilvl w:val="0"/>
          <w:numId w:val="3"/>
        </w:numPr>
        <w:rPr>
          <w:b/>
          <w:bCs/>
          <w:color w:val="FF0066"/>
        </w:rPr>
      </w:pPr>
      <w:r w:rsidRPr="00895654">
        <w:rPr>
          <w:b/>
          <w:bCs/>
          <w:color w:val="FF0066"/>
        </w:rPr>
        <w:t>Chapter Purpose</w:t>
      </w:r>
    </w:p>
    <w:p w14:paraId="27A4A4D3" w14:textId="77777777" w:rsidR="003D50DA" w:rsidRDefault="003D50DA" w:rsidP="003D50DA">
      <w:pPr>
        <w:pStyle w:val="ListParagraph"/>
      </w:pPr>
      <w:r>
        <w:t>Chapter 1 establishes the conceptual foundation for this entire book. Before a reader or an aspiring defender can assess, harden, attack, defend, detect, or recover an identity environment, they must first understand why identity has become the central control plane for modern enterprise security.</w:t>
      </w:r>
    </w:p>
    <w:p w14:paraId="72540931" w14:textId="77777777" w:rsidR="003D50DA" w:rsidRDefault="003D50DA" w:rsidP="003D50DA">
      <w:pPr>
        <w:pStyle w:val="ListParagraph"/>
      </w:pPr>
    </w:p>
    <w:p w14:paraId="1CF19523" w14:textId="77777777" w:rsidR="003D50DA" w:rsidRDefault="003D50DA" w:rsidP="003D50DA">
      <w:pPr>
        <w:pStyle w:val="ListParagraph"/>
      </w:pPr>
      <w:r>
        <w:t>The purpose of this chapter is to introduce identity as the primary security boundary in federal, defense, intelligence, contractor-supported, and mission-partner environments. It explains why identities, credentials, authentication systems, authorization decisions, directory services, certificates, federation relationships, privileged accounts, and trust boundaries must be treated as mission-critical infrastructure.</w:t>
      </w:r>
    </w:p>
    <w:p w14:paraId="7AF32EC3" w14:textId="77777777" w:rsidR="003D50DA" w:rsidRDefault="003D50DA" w:rsidP="003D50DA">
      <w:pPr>
        <w:pStyle w:val="ListParagraph"/>
      </w:pPr>
    </w:p>
    <w:p w14:paraId="5E55E0E1" w14:textId="77777777" w:rsidR="003D50DA" w:rsidRDefault="003D50DA" w:rsidP="003D50DA">
      <w:pPr>
        <w:pStyle w:val="ListParagraph"/>
      </w:pPr>
      <w:r>
        <w:t>This chapter also introduces the major lenses used throughout this book: Active Directory as the technical backbone, FICAM as the federal governance lens, Zero Trust as the modernization model, Identity and Detection Security Engineering as the discipline, and adversary behavior as the validation mechanism. The reader should leave this chapter with an understanding of why identity is not simply an administrative function. Identity is the battlefield of cybersecurity.</w:t>
      </w:r>
    </w:p>
    <w:p w14:paraId="1FA10343" w14:textId="77777777" w:rsidR="003D50DA" w:rsidRDefault="003D50DA" w:rsidP="003D50DA">
      <w:pPr>
        <w:pStyle w:val="ListParagraph"/>
      </w:pPr>
    </w:p>
    <w:p w14:paraId="7F06EDEA" w14:textId="77777777" w:rsidR="003D50DA" w:rsidRPr="00895654" w:rsidRDefault="003D50DA" w:rsidP="003D50DA">
      <w:pPr>
        <w:pStyle w:val="ListParagraph"/>
        <w:numPr>
          <w:ilvl w:val="0"/>
          <w:numId w:val="3"/>
        </w:numPr>
        <w:rPr>
          <w:b/>
          <w:bCs/>
          <w:color w:val="FF0066"/>
        </w:rPr>
      </w:pPr>
      <w:r w:rsidRPr="00895654">
        <w:rPr>
          <w:b/>
          <w:bCs/>
          <w:color w:val="FF0066"/>
        </w:rPr>
        <w:t>Chapter Abstract</w:t>
      </w:r>
    </w:p>
    <w:p w14:paraId="47E21C46" w14:textId="77777777" w:rsidR="003D50DA" w:rsidRDefault="003D50DA" w:rsidP="003D50DA">
      <w:pPr>
        <w:pStyle w:val="ListParagraph"/>
      </w:pPr>
      <w:r>
        <w:t xml:space="preserve">Modern enterprise security is no longer defined only by firewalls, networks, endpoints, or traditional security defenses as we know them today. In federal and defense environments, the most important security question is often not </w:t>
      </w:r>
      <w:r>
        <w:rPr>
          <w:i/>
          <w:iCs/>
        </w:rPr>
        <w:t xml:space="preserve">“Can the attacker reach the network?” </w:t>
      </w:r>
      <w:r>
        <w:t xml:space="preserve">but </w:t>
      </w:r>
      <w:r>
        <w:rPr>
          <w:i/>
          <w:iCs/>
        </w:rPr>
        <w:t xml:space="preserve">“Can the attacker become </w:t>
      </w:r>
      <w:r>
        <w:rPr>
          <w:b/>
          <w:bCs/>
          <w:i/>
          <w:iCs/>
        </w:rPr>
        <w:t>trusted</w:t>
      </w:r>
      <w:r>
        <w:rPr>
          <w:i/>
          <w:iCs/>
        </w:rPr>
        <w:t xml:space="preserve"> by the underlying identity system?” </w:t>
      </w:r>
      <w:r>
        <w:t xml:space="preserve">Once an adversary can authenticate, obtain credentials, abuse authorization, manipulate digitally signing certificates, or exploit </w:t>
      </w:r>
      <w:r>
        <w:lastRenderedPageBreak/>
        <w:t>federation trust relationships, the environment may treat the adversary as legitimate.</w:t>
      </w:r>
    </w:p>
    <w:p w14:paraId="4863836B" w14:textId="77777777" w:rsidR="003D50DA" w:rsidRDefault="003D50DA" w:rsidP="003D50DA">
      <w:pPr>
        <w:pStyle w:val="ListParagraph"/>
      </w:pPr>
    </w:p>
    <w:p w14:paraId="2CB57F7B" w14:textId="77777777" w:rsidR="003D50DA" w:rsidRDefault="003D50DA" w:rsidP="003D50DA">
      <w:pPr>
        <w:pStyle w:val="ListParagraph"/>
      </w:pPr>
      <w:r>
        <w:t xml:space="preserve">Chapter 1 introduces identity as the foundational security and network perimeter boundary. It explains how authentication, authorization, credentials, directory services, federation, access control, and trust relationships shape nearly every security decision made within an enterprise. </w:t>
      </w:r>
      <w:r>
        <w:rPr>
          <w:b/>
          <w:bCs/>
        </w:rPr>
        <w:t>Active Directory</w:t>
      </w:r>
      <w:r>
        <w:t xml:space="preserve"> remains one of the most important identity platforms in federal and defense environments because it controls user access, privileged administration, authentication workflows, Group Policy Objects (GPOs) and enterprise-wide security enforcements, Kerberos authentication protocol trust, domain relationships, certificate integration, and access to mission systems.</w:t>
      </w:r>
    </w:p>
    <w:p w14:paraId="49E862D5" w14:textId="77777777" w:rsidR="003D50DA" w:rsidRDefault="003D50DA" w:rsidP="003D50DA">
      <w:pPr>
        <w:pStyle w:val="ListParagraph"/>
      </w:pPr>
    </w:p>
    <w:p w14:paraId="7324545A" w14:textId="77777777" w:rsidR="003D50DA" w:rsidRDefault="003D50DA" w:rsidP="003D50DA">
      <w:pPr>
        <w:pStyle w:val="ListParagraph"/>
      </w:pPr>
      <w:r>
        <w:t xml:space="preserve">This chapter also introduces </w:t>
      </w:r>
      <w:r>
        <w:rPr>
          <w:b/>
          <w:bCs/>
        </w:rPr>
        <w:t>Federal Identity, Credential, and Access Management (FICAM)</w:t>
      </w:r>
      <w:r>
        <w:t xml:space="preserve"> and </w:t>
      </w:r>
      <w:r>
        <w:rPr>
          <w:b/>
          <w:bCs/>
        </w:rPr>
        <w:t>Identity, Credential and Access Management (ICAM)</w:t>
      </w:r>
      <w:r>
        <w:t xml:space="preserve"> as the federal governance frameworks that shape how identities are established, credentialed, authorized, federated, monitored, reviewed, and revoked. FICAM is </w:t>
      </w:r>
      <w:proofErr w:type="gramStart"/>
      <w:r>
        <w:t>no</w:t>
      </w:r>
      <w:proofErr w:type="gramEnd"/>
      <w:r>
        <w:t xml:space="preserve"> treated as a compliance footnote in this book. It is treated as the governance lens through which federal identity operations should be understood.</w:t>
      </w:r>
    </w:p>
    <w:p w14:paraId="53C4EBC4" w14:textId="77777777" w:rsidR="003D50DA" w:rsidRDefault="003D50DA" w:rsidP="003D50DA">
      <w:pPr>
        <w:pStyle w:val="ListParagraph"/>
      </w:pPr>
    </w:p>
    <w:p w14:paraId="4495ADC5" w14:textId="77777777" w:rsidR="003D50DA" w:rsidRDefault="003D50DA" w:rsidP="003D50DA">
      <w:pPr>
        <w:pStyle w:val="ListParagraph"/>
        <w:rPr>
          <w:i/>
          <w:iCs/>
        </w:rPr>
      </w:pPr>
      <w:r>
        <w:t xml:space="preserve">Finally, Chapter 1 establishes the central educational philosophy of the book: </w:t>
      </w:r>
      <w:r>
        <w:rPr>
          <w:b/>
          <w:bCs/>
        </w:rPr>
        <w:t xml:space="preserve">defenders must understand how attackers think. </w:t>
      </w:r>
      <w:r>
        <w:t xml:space="preserve">This does not mean glorifying offensive, unethical, illegal, or teaching of reckless behaviors. It means recognizing that identity security cannot be defended intelligently unless engineers, assessors, analysts, ISSOs, ISSMs, systems owners, and mission leaders truly understand how adversaries exploit trust. Chapter 1 begins with a simple premise: </w:t>
      </w:r>
      <w:r>
        <w:rPr>
          <w:i/>
          <w:iCs/>
        </w:rPr>
        <w:t>identity is the battlefield, and every authentication decision made is treated as a security event.</w:t>
      </w:r>
    </w:p>
    <w:p w14:paraId="3D384A2A" w14:textId="77777777" w:rsidR="003D50DA" w:rsidRDefault="003D50DA" w:rsidP="003D50DA">
      <w:pPr>
        <w:pStyle w:val="ListParagraph"/>
      </w:pPr>
    </w:p>
    <w:p w14:paraId="338200CE" w14:textId="77777777" w:rsidR="003D50DA" w:rsidRPr="00895654" w:rsidRDefault="003D50DA" w:rsidP="003D50DA">
      <w:pPr>
        <w:pStyle w:val="ListParagraph"/>
        <w:numPr>
          <w:ilvl w:val="0"/>
          <w:numId w:val="3"/>
        </w:numPr>
        <w:rPr>
          <w:b/>
          <w:bCs/>
          <w:color w:val="FF0066"/>
        </w:rPr>
      </w:pPr>
      <w:r w:rsidRPr="00895654">
        <w:rPr>
          <w:b/>
          <w:bCs/>
          <w:color w:val="FF0066"/>
        </w:rPr>
        <w:t>Key Terminology</w:t>
      </w:r>
    </w:p>
    <w:p w14:paraId="1D65A69F" w14:textId="77777777" w:rsidR="003D50DA" w:rsidRDefault="003D50DA" w:rsidP="003D50DA">
      <w:pPr>
        <w:pStyle w:val="ListParagraph"/>
      </w:pPr>
      <w:r>
        <w:rPr>
          <w:b/>
          <w:bCs/>
        </w:rPr>
        <w:t>Identity</w:t>
      </w:r>
      <w:r>
        <w:t xml:space="preserve"> – A digital representation of a human entity or </w:t>
      </w:r>
      <w:r>
        <w:rPr>
          <w:b/>
          <w:bCs/>
        </w:rPr>
        <w:t>Non-Person Entity (NPE)</w:t>
      </w:r>
      <w:r>
        <w:t xml:space="preserve"> (e.g., smartphone, laptop), service, workload, application, process, or system that can be authenticated, authorized, monitored, governed, or revoked.</w:t>
      </w:r>
    </w:p>
    <w:p w14:paraId="5FB5D5AF" w14:textId="77777777" w:rsidR="003D50DA" w:rsidRDefault="003D50DA" w:rsidP="003D50DA">
      <w:pPr>
        <w:pStyle w:val="ListParagraph"/>
      </w:pPr>
    </w:p>
    <w:p w14:paraId="5DD3960E" w14:textId="77777777" w:rsidR="003D50DA" w:rsidRDefault="003D50DA" w:rsidP="003D50DA">
      <w:pPr>
        <w:pStyle w:val="ListParagraph"/>
      </w:pPr>
      <w:r>
        <w:rPr>
          <w:b/>
          <w:bCs/>
        </w:rPr>
        <w:t>Credential</w:t>
      </w:r>
      <w:r>
        <w:t xml:space="preserve"> – Evidence used to authentication a claimant’s identity. Credentials may include anything from passwords, password hashes, passphrases, Kerberos tickets, certificates, smart cards, tokens, passkeys, private keys, refresh tokens, access tokens, </w:t>
      </w:r>
      <w:proofErr w:type="gramStart"/>
      <w:r>
        <w:t>service account</w:t>
      </w:r>
      <w:proofErr w:type="gramEnd"/>
      <w:r>
        <w:t xml:space="preserve"> secrets, or other authentication material.</w:t>
      </w:r>
    </w:p>
    <w:p w14:paraId="19307E1D" w14:textId="77777777" w:rsidR="003D50DA" w:rsidRDefault="003D50DA" w:rsidP="003D50DA">
      <w:pPr>
        <w:pStyle w:val="ListParagraph"/>
      </w:pPr>
    </w:p>
    <w:p w14:paraId="7462EF01" w14:textId="77777777" w:rsidR="003D50DA" w:rsidRDefault="003D50DA" w:rsidP="003D50DA">
      <w:pPr>
        <w:pStyle w:val="ListParagraph"/>
      </w:pPr>
      <w:r>
        <w:rPr>
          <w:b/>
          <w:bCs/>
        </w:rPr>
        <w:lastRenderedPageBreak/>
        <w:t>Authentication</w:t>
      </w:r>
      <w:r>
        <w:t xml:space="preserve"> – The process of proving that a claimant’s identity is who or what it claims to be.</w:t>
      </w:r>
    </w:p>
    <w:p w14:paraId="1277FCB7" w14:textId="77777777" w:rsidR="003D50DA" w:rsidRDefault="003D50DA" w:rsidP="003D50DA">
      <w:pPr>
        <w:pStyle w:val="ListParagraph"/>
      </w:pPr>
    </w:p>
    <w:p w14:paraId="2026BBFE" w14:textId="77777777" w:rsidR="003D50DA" w:rsidRDefault="003D50DA" w:rsidP="003D50DA">
      <w:pPr>
        <w:pStyle w:val="ListParagraph"/>
      </w:pPr>
      <w:r>
        <w:rPr>
          <w:b/>
          <w:bCs/>
        </w:rPr>
        <w:t>Authorization</w:t>
      </w:r>
      <w:r>
        <w:t xml:space="preserve"> – The process of determining what an authenticated identity is allowed to access, modify, execute, administer, or control.</w:t>
      </w:r>
    </w:p>
    <w:p w14:paraId="0906CC01" w14:textId="77777777" w:rsidR="003D50DA" w:rsidRDefault="003D50DA" w:rsidP="003D50DA">
      <w:pPr>
        <w:pStyle w:val="ListParagraph"/>
      </w:pPr>
    </w:p>
    <w:p w14:paraId="64CCF5D6" w14:textId="77777777" w:rsidR="003D50DA" w:rsidRDefault="003D50DA" w:rsidP="003D50DA">
      <w:pPr>
        <w:pStyle w:val="ListParagraph"/>
      </w:pPr>
      <w:r>
        <w:rPr>
          <w:b/>
          <w:bCs/>
        </w:rPr>
        <w:t>Accounting</w:t>
      </w:r>
      <w:r>
        <w:t xml:space="preserve"> – The process of recording identity activity, access decisions, administrative actions, authentication events, authorization changes, and audit-relevant behavior.</w:t>
      </w:r>
    </w:p>
    <w:p w14:paraId="26000AC7" w14:textId="77777777" w:rsidR="003D50DA" w:rsidRDefault="003D50DA" w:rsidP="003D50DA">
      <w:pPr>
        <w:pStyle w:val="ListParagraph"/>
      </w:pPr>
    </w:p>
    <w:p w14:paraId="6AAA4DAE" w14:textId="77777777" w:rsidR="003D50DA" w:rsidRDefault="003D50DA" w:rsidP="003D50DA">
      <w:pPr>
        <w:pStyle w:val="ListParagraph"/>
        <w:rPr>
          <w:b/>
          <w:bCs/>
        </w:rPr>
      </w:pPr>
      <w:r>
        <w:rPr>
          <w:b/>
          <w:bCs/>
        </w:rPr>
        <w:t>Accountability</w:t>
      </w:r>
    </w:p>
    <w:p w14:paraId="227300CD" w14:textId="77777777" w:rsidR="003D50DA" w:rsidRDefault="003D50DA" w:rsidP="003D50DA">
      <w:pPr>
        <w:pStyle w:val="ListParagraph"/>
        <w:rPr>
          <w:b/>
          <w:bCs/>
        </w:rPr>
      </w:pPr>
    </w:p>
    <w:p w14:paraId="30F2843A" w14:textId="77777777" w:rsidR="003D50DA" w:rsidRDefault="003D50DA" w:rsidP="003D50DA">
      <w:pPr>
        <w:pStyle w:val="ListParagraph"/>
      </w:pPr>
      <w:r>
        <w:rPr>
          <w:b/>
          <w:bCs/>
        </w:rPr>
        <w:t>Trust</w:t>
      </w:r>
      <w:r>
        <w:t xml:space="preserve"> – A relationship in which one system, domain, forest, </w:t>
      </w:r>
      <w:r>
        <w:rPr>
          <w:b/>
          <w:bCs/>
        </w:rPr>
        <w:t>Identity Provider (IdP)</w:t>
      </w:r>
      <w:r>
        <w:t xml:space="preserve">, </w:t>
      </w:r>
      <w:r>
        <w:rPr>
          <w:b/>
          <w:bCs/>
        </w:rPr>
        <w:t>Certificate Authority (CA)</w:t>
      </w:r>
      <w:r>
        <w:t>, federation service, or application accepts assertions, credentials, or authority from another.</w:t>
      </w:r>
    </w:p>
    <w:p w14:paraId="62C7710C" w14:textId="77777777" w:rsidR="003D50DA" w:rsidRDefault="003D50DA" w:rsidP="003D50DA">
      <w:pPr>
        <w:pStyle w:val="ListParagraph"/>
      </w:pPr>
    </w:p>
    <w:p w14:paraId="1848BA3F" w14:textId="77777777" w:rsidR="003D50DA" w:rsidRDefault="003D50DA" w:rsidP="003D50DA">
      <w:pPr>
        <w:pStyle w:val="ListParagraph"/>
      </w:pPr>
      <w:r>
        <w:rPr>
          <w:b/>
          <w:bCs/>
        </w:rPr>
        <w:t>Active Directory Domain Services (AD DS)</w:t>
      </w:r>
      <w:r>
        <w:t xml:space="preserve"> – Microsoft’s directory service used to manage users, groups, computers, security policies, authentication, authorization, domains, forests, and enterprise identity relationships.</w:t>
      </w:r>
    </w:p>
    <w:p w14:paraId="391DB10B" w14:textId="77777777" w:rsidR="003D50DA" w:rsidRDefault="003D50DA" w:rsidP="003D50DA">
      <w:pPr>
        <w:pStyle w:val="ListParagraph"/>
      </w:pPr>
    </w:p>
    <w:p w14:paraId="431DC8A4" w14:textId="77777777" w:rsidR="003D50DA" w:rsidRDefault="003D50DA" w:rsidP="003D50DA">
      <w:pPr>
        <w:pStyle w:val="ListParagraph"/>
      </w:pPr>
      <w:r>
        <w:rPr>
          <w:b/>
          <w:bCs/>
        </w:rPr>
        <w:t>Domain Controller (DC)</w:t>
      </w:r>
      <w:r>
        <w:t xml:space="preserve"> – A server that hosts Active Directory Domain Services (AD DS) and provides the means for authentication, directory lookup through queries, policy processing, domain-wide replication, and identity services for a domain.</w:t>
      </w:r>
    </w:p>
    <w:p w14:paraId="68A706A7" w14:textId="77777777" w:rsidR="003D50DA" w:rsidRDefault="003D50DA" w:rsidP="003D50DA">
      <w:pPr>
        <w:pStyle w:val="ListParagraph"/>
      </w:pPr>
    </w:p>
    <w:p w14:paraId="6AB73505" w14:textId="77777777" w:rsidR="003D50DA" w:rsidRDefault="003D50DA" w:rsidP="003D50DA">
      <w:pPr>
        <w:pStyle w:val="ListParagraph"/>
      </w:pPr>
      <w:r>
        <w:rPr>
          <w:b/>
          <w:bCs/>
        </w:rPr>
        <w:t>Kerberos</w:t>
      </w:r>
      <w:r>
        <w:t xml:space="preserve"> – A ticket-based authentication protocol widely used in Active Directory environments.</w:t>
      </w:r>
    </w:p>
    <w:p w14:paraId="1179E06E" w14:textId="77777777" w:rsidR="003D50DA" w:rsidRDefault="003D50DA" w:rsidP="003D50DA">
      <w:pPr>
        <w:pStyle w:val="ListParagraph"/>
      </w:pPr>
    </w:p>
    <w:p w14:paraId="0BA386C0" w14:textId="77777777" w:rsidR="003D50DA" w:rsidRDefault="003D50DA" w:rsidP="003D50DA">
      <w:pPr>
        <w:pStyle w:val="ListParagraph"/>
      </w:pPr>
      <w:r>
        <w:rPr>
          <w:b/>
          <w:bCs/>
        </w:rPr>
        <w:t>Lightweight Directory Access Protocol (LDAP)</w:t>
      </w:r>
      <w:r>
        <w:t xml:space="preserve"> – Lightweight Directory Access Protocol, commonly used to query and interact with directory services such as Active Directory.</w:t>
      </w:r>
    </w:p>
    <w:p w14:paraId="1B751C5D" w14:textId="77777777" w:rsidR="003D50DA" w:rsidRDefault="003D50DA" w:rsidP="003D50DA">
      <w:pPr>
        <w:pStyle w:val="ListParagraph"/>
      </w:pPr>
    </w:p>
    <w:p w14:paraId="76CDE07E" w14:textId="77777777" w:rsidR="003D50DA" w:rsidRDefault="003D50DA" w:rsidP="003D50DA">
      <w:pPr>
        <w:pStyle w:val="ListParagraph"/>
      </w:pPr>
      <w:r>
        <w:rPr>
          <w:b/>
          <w:bCs/>
        </w:rPr>
        <w:t>Federal Identity, Credential, and Access Management (FICAM)</w:t>
      </w:r>
      <w:r>
        <w:t xml:space="preserve"> – A federal approach to governing identities, credentials, access, federation, and assurance across government and military environments.</w:t>
      </w:r>
    </w:p>
    <w:p w14:paraId="532A3144" w14:textId="77777777" w:rsidR="003D50DA" w:rsidRDefault="003D50DA" w:rsidP="003D50DA">
      <w:pPr>
        <w:pStyle w:val="ListParagraph"/>
      </w:pPr>
    </w:p>
    <w:p w14:paraId="14B0E256" w14:textId="77777777" w:rsidR="003D50DA" w:rsidRDefault="003D50DA" w:rsidP="003D50DA">
      <w:pPr>
        <w:pStyle w:val="ListParagraph"/>
      </w:pPr>
      <w:r>
        <w:rPr>
          <w:b/>
          <w:bCs/>
        </w:rPr>
        <w:t>Identity, Credential, and Access Management (ICAM)</w:t>
      </w:r>
      <w:r>
        <w:t xml:space="preserve"> – A broader disciplined focused on identity lifecycle management, credentialing, access control, governance, authentication, authorization, and federation.</w:t>
      </w:r>
    </w:p>
    <w:p w14:paraId="60E7AE8B" w14:textId="77777777" w:rsidR="003D50DA" w:rsidRDefault="003D50DA" w:rsidP="003D50DA">
      <w:pPr>
        <w:pStyle w:val="ListParagraph"/>
      </w:pPr>
    </w:p>
    <w:p w14:paraId="331FF844" w14:textId="77777777" w:rsidR="003D50DA" w:rsidRDefault="003D50DA" w:rsidP="003D50DA">
      <w:pPr>
        <w:pStyle w:val="ListParagraph"/>
      </w:pPr>
      <w:r>
        <w:rPr>
          <w:b/>
          <w:bCs/>
        </w:rPr>
        <w:t>Zero Trust</w:t>
      </w:r>
      <w:r>
        <w:t xml:space="preserve"> – A security model based on continuous verification, </w:t>
      </w:r>
      <w:r>
        <w:rPr>
          <w:b/>
          <w:bCs/>
        </w:rPr>
        <w:t>Principle of Least Privilege</w:t>
      </w:r>
      <w:r>
        <w:t>, explicit trust decisions, strong identity, device context, telemetry, network segmentation, and risk-aware access enforcement.</w:t>
      </w:r>
    </w:p>
    <w:p w14:paraId="6C842683" w14:textId="77777777" w:rsidR="003D50DA" w:rsidRDefault="003D50DA" w:rsidP="003D50DA">
      <w:pPr>
        <w:pStyle w:val="ListParagraph"/>
      </w:pPr>
    </w:p>
    <w:p w14:paraId="24C65951" w14:textId="77777777" w:rsidR="003D50DA" w:rsidRDefault="003D50DA" w:rsidP="003D50DA">
      <w:pPr>
        <w:pStyle w:val="ListParagraph"/>
      </w:pPr>
      <w:r>
        <w:rPr>
          <w:b/>
          <w:bCs/>
        </w:rPr>
        <w:t>Identity and Detection Security Engineering</w:t>
      </w:r>
      <w:r>
        <w:t xml:space="preserve"> – The discipline of designing, implementing, validating, monitoring, attacking (ethically), defending, detecting, and recovering identity systems as mission security-critical infrastructure.</w:t>
      </w:r>
    </w:p>
    <w:p w14:paraId="685D374A" w14:textId="77777777" w:rsidR="003D50DA" w:rsidRDefault="003D50DA" w:rsidP="003D50DA">
      <w:pPr>
        <w:pStyle w:val="ListParagraph"/>
      </w:pPr>
    </w:p>
    <w:p w14:paraId="5B1EFAEE" w14:textId="77777777" w:rsidR="003D50DA" w:rsidRDefault="003D50DA" w:rsidP="003D50DA">
      <w:pPr>
        <w:pStyle w:val="ListParagraph"/>
      </w:pPr>
      <w:r>
        <w:rPr>
          <w:b/>
          <w:bCs/>
        </w:rPr>
        <w:t>Mission Assurance</w:t>
      </w:r>
      <w:r>
        <w:t xml:space="preserve"> – The ability to continue mission-essential operations despite cyber threats, system failures, identity compromise, operational disruption, or adversarial pressure.</w:t>
      </w:r>
    </w:p>
    <w:p w14:paraId="4E8D6FA0" w14:textId="77777777" w:rsidR="003D50DA" w:rsidRDefault="003D50DA" w:rsidP="003D50DA">
      <w:pPr>
        <w:pStyle w:val="ListParagraph"/>
      </w:pPr>
    </w:p>
    <w:p w14:paraId="23002DEF" w14:textId="77777777" w:rsidR="003D50DA" w:rsidRDefault="003D50DA" w:rsidP="003D50DA">
      <w:pPr>
        <w:pStyle w:val="ListParagraph"/>
      </w:pPr>
      <w:r>
        <w:rPr>
          <w:b/>
          <w:bCs/>
        </w:rPr>
        <w:t>Identity Attack Surface</w:t>
      </w:r>
      <w:r>
        <w:t xml:space="preserve"> – The collection of identities, credentials, authentication systems, authorization pathways, directory objects, privileges, certificates, federation relationships, cloud roles, service accounts, and trust relationships that an adversary may seek to target.</w:t>
      </w:r>
    </w:p>
    <w:p w14:paraId="58EEF760" w14:textId="77777777" w:rsidR="003D50DA" w:rsidRDefault="003D50DA" w:rsidP="003D50DA">
      <w:pPr>
        <w:pStyle w:val="ListParagraph"/>
      </w:pPr>
    </w:p>
    <w:p w14:paraId="6294F7A3" w14:textId="77777777" w:rsidR="003D50DA" w:rsidRDefault="003D50DA" w:rsidP="003D50DA">
      <w:pPr>
        <w:pStyle w:val="ListParagraph"/>
      </w:pPr>
      <w:r>
        <w:rPr>
          <w:b/>
          <w:bCs/>
        </w:rPr>
        <w:t>Identity Control Plane</w:t>
      </w:r>
      <w:r>
        <w:t xml:space="preserve"> – The identity infrastructure that determines who or what can access systems, networks, administer resources, authenticate to services, receive privileges, or establish trust.</w:t>
      </w:r>
    </w:p>
    <w:p w14:paraId="07ED1949" w14:textId="77777777" w:rsidR="003D50DA" w:rsidRDefault="003D50DA" w:rsidP="003D50DA">
      <w:pPr>
        <w:pStyle w:val="ListParagraph"/>
        <w:numPr>
          <w:ilvl w:val="0"/>
          <w:numId w:val="3"/>
        </w:numPr>
        <w:rPr>
          <w:b/>
          <w:bCs/>
        </w:rPr>
      </w:pPr>
      <w:r>
        <w:rPr>
          <w:b/>
          <w:bCs/>
        </w:rPr>
        <w:t>Chapter Learning Objectives</w:t>
      </w:r>
    </w:p>
    <w:p w14:paraId="2DEFBCAB" w14:textId="77777777" w:rsidR="003D50DA" w:rsidRDefault="003D50DA" w:rsidP="003D50DA">
      <w:pPr>
        <w:pStyle w:val="ListParagraph"/>
      </w:pPr>
      <w:r>
        <w:t>By the end of this chapter, the reader should be able to explain why identity has become the primary security boundary in modern federal, military, and defense environments.</w:t>
      </w:r>
    </w:p>
    <w:p w14:paraId="6125B9F8" w14:textId="77777777" w:rsidR="003D50DA" w:rsidRDefault="003D50DA" w:rsidP="003D50DA">
      <w:pPr>
        <w:pStyle w:val="ListParagraph"/>
      </w:pPr>
    </w:p>
    <w:p w14:paraId="7F5C54BA" w14:textId="77777777" w:rsidR="003D50DA" w:rsidRDefault="003D50DA" w:rsidP="003D50DA">
      <w:pPr>
        <w:pStyle w:val="ListParagraph"/>
      </w:pPr>
      <w:r>
        <w:t>The reader should be able to describe the relationship between identity, credentials, authentication, authorization, accounting, access control, and trust.</w:t>
      </w:r>
    </w:p>
    <w:p w14:paraId="142B6A85" w14:textId="77777777" w:rsidR="003D50DA" w:rsidRDefault="003D50DA" w:rsidP="003D50DA">
      <w:pPr>
        <w:pStyle w:val="ListParagraph"/>
      </w:pPr>
    </w:p>
    <w:p w14:paraId="60A22909" w14:textId="77777777" w:rsidR="003D50DA" w:rsidRDefault="003D50DA" w:rsidP="003D50DA">
      <w:pPr>
        <w:pStyle w:val="ListParagraph"/>
      </w:pPr>
      <w:r>
        <w:t>The reader should be able to explain why FICAM and ICAM matter in federal identity environments.</w:t>
      </w:r>
    </w:p>
    <w:p w14:paraId="480D2B5D" w14:textId="77777777" w:rsidR="003D50DA" w:rsidRDefault="003D50DA" w:rsidP="003D50DA">
      <w:pPr>
        <w:pStyle w:val="ListParagraph"/>
      </w:pPr>
    </w:p>
    <w:p w14:paraId="3C457A9C" w14:textId="77777777" w:rsidR="003D50DA" w:rsidRDefault="003D50DA" w:rsidP="003D50DA">
      <w:pPr>
        <w:pStyle w:val="ListParagraph"/>
      </w:pPr>
      <w:r>
        <w:t>The reader should understand why Zero Trust depends on strong identity governance, continuous verification, least privilege, and identity-aware telemetry.</w:t>
      </w:r>
    </w:p>
    <w:p w14:paraId="507D74C2" w14:textId="77777777" w:rsidR="003D50DA" w:rsidRDefault="003D50DA" w:rsidP="003D50DA">
      <w:pPr>
        <w:pStyle w:val="ListParagraph"/>
      </w:pPr>
    </w:p>
    <w:p w14:paraId="77F51841" w14:textId="77777777" w:rsidR="003D50DA" w:rsidRDefault="003D50DA" w:rsidP="003D50DA">
      <w:pPr>
        <w:pStyle w:val="ListParagraph"/>
      </w:pPr>
      <w:r>
        <w:t>The reader should be able to explain why attackers target identities instead of relying only on traditional network exploitation.</w:t>
      </w:r>
    </w:p>
    <w:p w14:paraId="10B07764" w14:textId="77777777" w:rsidR="003D50DA" w:rsidRDefault="003D50DA" w:rsidP="003D50DA">
      <w:pPr>
        <w:pStyle w:val="ListParagraph"/>
      </w:pPr>
    </w:p>
    <w:p w14:paraId="5CE101E1" w14:textId="77777777" w:rsidR="003D50DA" w:rsidRDefault="003D50DA" w:rsidP="003D50DA">
      <w:pPr>
        <w:pStyle w:val="ListParagraph"/>
      </w:pPr>
      <w:r>
        <w:lastRenderedPageBreak/>
        <w:t xml:space="preserve">The reader should understand why defenders must study adversarial behaviors, known as </w:t>
      </w:r>
      <w:r>
        <w:rPr>
          <w:b/>
          <w:bCs/>
        </w:rPr>
        <w:t>Tactics, Techniques and Procedures (TTPs</w:t>
      </w:r>
      <w:r>
        <w:t>, to engineer effective identity protection, detection, and recovery.</w:t>
      </w:r>
    </w:p>
    <w:p w14:paraId="3F120AAD" w14:textId="77777777" w:rsidR="003D50DA" w:rsidRDefault="003D50DA" w:rsidP="003D50DA">
      <w:pPr>
        <w:pStyle w:val="ListParagraph"/>
      </w:pPr>
    </w:p>
    <w:p w14:paraId="323064F1" w14:textId="77777777" w:rsidR="003D50DA" w:rsidRDefault="003D50DA" w:rsidP="003D50DA">
      <w:pPr>
        <w:pStyle w:val="ListParagraph"/>
      </w:pPr>
      <w:r>
        <w:t xml:space="preserve">The reader should be able to describe the book’s core progression: </w:t>
      </w:r>
    </w:p>
    <w:p w14:paraId="059D4014" w14:textId="77777777" w:rsidR="003D50DA" w:rsidRDefault="003D50DA" w:rsidP="003D50DA">
      <w:pPr>
        <w:pStyle w:val="ListParagraph"/>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3"/>
        <w:gridCol w:w="4347"/>
      </w:tblGrid>
      <w:tr w:rsidR="003D50DA" w14:paraId="368E8616" w14:textId="77777777" w:rsidTr="009966D1">
        <w:tc>
          <w:tcPr>
            <w:tcW w:w="4283" w:type="dxa"/>
          </w:tcPr>
          <w:p w14:paraId="7CB00086" w14:textId="77777777" w:rsidR="003D50DA" w:rsidRDefault="003D50DA" w:rsidP="003D50DA">
            <w:pPr>
              <w:pStyle w:val="ListParagraph"/>
              <w:numPr>
                <w:ilvl w:val="0"/>
                <w:numId w:val="2"/>
              </w:numPr>
            </w:pPr>
            <w:r>
              <w:t>Foundations</w:t>
            </w:r>
          </w:p>
        </w:tc>
        <w:tc>
          <w:tcPr>
            <w:tcW w:w="4347" w:type="dxa"/>
          </w:tcPr>
          <w:p w14:paraId="07111CE7" w14:textId="77777777" w:rsidR="003D50DA" w:rsidRDefault="003D50DA" w:rsidP="003D50DA">
            <w:pPr>
              <w:pStyle w:val="ListParagraph"/>
              <w:numPr>
                <w:ilvl w:val="0"/>
                <w:numId w:val="2"/>
              </w:numPr>
            </w:pPr>
            <w:r>
              <w:t>Governance</w:t>
            </w:r>
          </w:p>
        </w:tc>
      </w:tr>
      <w:tr w:rsidR="003D50DA" w14:paraId="4DBFEE18" w14:textId="77777777" w:rsidTr="009966D1">
        <w:tc>
          <w:tcPr>
            <w:tcW w:w="4283" w:type="dxa"/>
          </w:tcPr>
          <w:p w14:paraId="14BACE5D" w14:textId="77777777" w:rsidR="003D50DA" w:rsidRDefault="003D50DA" w:rsidP="003D50DA">
            <w:pPr>
              <w:pStyle w:val="ListParagraph"/>
              <w:numPr>
                <w:ilvl w:val="0"/>
                <w:numId w:val="2"/>
              </w:numPr>
            </w:pPr>
            <w:r>
              <w:t>Architecture</w:t>
            </w:r>
          </w:p>
        </w:tc>
        <w:tc>
          <w:tcPr>
            <w:tcW w:w="4347" w:type="dxa"/>
          </w:tcPr>
          <w:p w14:paraId="5D8B8D7D" w14:textId="77777777" w:rsidR="003D50DA" w:rsidRDefault="003D50DA" w:rsidP="003D50DA">
            <w:pPr>
              <w:pStyle w:val="ListParagraph"/>
              <w:numPr>
                <w:ilvl w:val="0"/>
                <w:numId w:val="2"/>
              </w:numPr>
            </w:pPr>
            <w:r>
              <w:t>Assessment</w:t>
            </w:r>
          </w:p>
        </w:tc>
      </w:tr>
      <w:tr w:rsidR="003D50DA" w14:paraId="2C7F6907" w14:textId="77777777" w:rsidTr="009966D1">
        <w:tc>
          <w:tcPr>
            <w:tcW w:w="4283" w:type="dxa"/>
          </w:tcPr>
          <w:p w14:paraId="571DE7F5" w14:textId="77777777" w:rsidR="003D50DA" w:rsidRDefault="003D50DA" w:rsidP="003D50DA">
            <w:pPr>
              <w:pStyle w:val="ListParagraph"/>
              <w:numPr>
                <w:ilvl w:val="0"/>
                <w:numId w:val="2"/>
              </w:numPr>
            </w:pPr>
            <w:r>
              <w:t>Hardening</w:t>
            </w:r>
          </w:p>
        </w:tc>
        <w:tc>
          <w:tcPr>
            <w:tcW w:w="4347" w:type="dxa"/>
          </w:tcPr>
          <w:p w14:paraId="315888A8" w14:textId="77777777" w:rsidR="003D50DA" w:rsidRDefault="003D50DA" w:rsidP="003D50DA">
            <w:pPr>
              <w:pStyle w:val="ListParagraph"/>
              <w:numPr>
                <w:ilvl w:val="0"/>
                <w:numId w:val="2"/>
              </w:numPr>
            </w:pPr>
            <w:r>
              <w:t>Reconnaissance</w:t>
            </w:r>
          </w:p>
        </w:tc>
      </w:tr>
      <w:tr w:rsidR="003D50DA" w14:paraId="17D52E25" w14:textId="77777777" w:rsidTr="009966D1">
        <w:tc>
          <w:tcPr>
            <w:tcW w:w="4283" w:type="dxa"/>
          </w:tcPr>
          <w:p w14:paraId="2EECFCC6" w14:textId="77777777" w:rsidR="003D50DA" w:rsidRDefault="003D50DA" w:rsidP="003D50DA">
            <w:pPr>
              <w:pStyle w:val="ListParagraph"/>
              <w:numPr>
                <w:ilvl w:val="0"/>
                <w:numId w:val="2"/>
              </w:numPr>
            </w:pPr>
            <w:r>
              <w:t>Enumeration</w:t>
            </w:r>
          </w:p>
        </w:tc>
        <w:tc>
          <w:tcPr>
            <w:tcW w:w="4347" w:type="dxa"/>
          </w:tcPr>
          <w:p w14:paraId="54A9F97E" w14:textId="77777777" w:rsidR="003D50DA" w:rsidRDefault="003D50DA" w:rsidP="003D50DA">
            <w:pPr>
              <w:pStyle w:val="ListParagraph"/>
              <w:numPr>
                <w:ilvl w:val="0"/>
                <w:numId w:val="2"/>
              </w:numPr>
            </w:pPr>
            <w:r>
              <w:t>Initial Access</w:t>
            </w:r>
          </w:p>
        </w:tc>
      </w:tr>
      <w:tr w:rsidR="003D50DA" w14:paraId="5BE27FF9" w14:textId="77777777" w:rsidTr="009966D1">
        <w:tc>
          <w:tcPr>
            <w:tcW w:w="4283" w:type="dxa"/>
          </w:tcPr>
          <w:p w14:paraId="6857ECF9" w14:textId="77777777" w:rsidR="003D50DA" w:rsidRDefault="003D50DA" w:rsidP="003D50DA">
            <w:pPr>
              <w:pStyle w:val="ListParagraph"/>
              <w:numPr>
                <w:ilvl w:val="0"/>
                <w:numId w:val="2"/>
              </w:numPr>
            </w:pPr>
            <w:r>
              <w:t>Credential Acquisition</w:t>
            </w:r>
          </w:p>
        </w:tc>
        <w:tc>
          <w:tcPr>
            <w:tcW w:w="4347" w:type="dxa"/>
          </w:tcPr>
          <w:p w14:paraId="102AFAC1" w14:textId="77777777" w:rsidR="003D50DA" w:rsidRDefault="003D50DA" w:rsidP="003D50DA">
            <w:pPr>
              <w:pStyle w:val="ListParagraph"/>
              <w:numPr>
                <w:ilvl w:val="0"/>
                <w:numId w:val="2"/>
              </w:numPr>
            </w:pPr>
            <w:r>
              <w:t>Authority Expansion</w:t>
            </w:r>
          </w:p>
        </w:tc>
      </w:tr>
      <w:tr w:rsidR="003D50DA" w14:paraId="3708927B" w14:textId="77777777" w:rsidTr="009966D1">
        <w:tc>
          <w:tcPr>
            <w:tcW w:w="4283" w:type="dxa"/>
          </w:tcPr>
          <w:p w14:paraId="1B5466B3" w14:textId="77777777" w:rsidR="003D50DA" w:rsidRDefault="003D50DA" w:rsidP="003D50DA">
            <w:pPr>
              <w:pStyle w:val="ListParagraph"/>
              <w:numPr>
                <w:ilvl w:val="0"/>
                <w:numId w:val="2"/>
              </w:numPr>
            </w:pPr>
            <w:r>
              <w:t>Mobility</w:t>
            </w:r>
          </w:p>
        </w:tc>
        <w:tc>
          <w:tcPr>
            <w:tcW w:w="4347" w:type="dxa"/>
          </w:tcPr>
          <w:p w14:paraId="0FF4A271" w14:textId="77777777" w:rsidR="003D50DA" w:rsidRDefault="003D50DA" w:rsidP="003D50DA">
            <w:pPr>
              <w:pStyle w:val="ListParagraph"/>
              <w:numPr>
                <w:ilvl w:val="0"/>
                <w:numId w:val="2"/>
              </w:numPr>
            </w:pPr>
            <w:r>
              <w:t>Persistence</w:t>
            </w:r>
          </w:p>
        </w:tc>
      </w:tr>
      <w:tr w:rsidR="003D50DA" w14:paraId="483DEDA6" w14:textId="77777777" w:rsidTr="009966D1">
        <w:tc>
          <w:tcPr>
            <w:tcW w:w="4283" w:type="dxa"/>
          </w:tcPr>
          <w:p w14:paraId="5EE852D2" w14:textId="77777777" w:rsidR="003D50DA" w:rsidRDefault="003D50DA" w:rsidP="003D50DA">
            <w:pPr>
              <w:pStyle w:val="ListParagraph"/>
              <w:numPr>
                <w:ilvl w:val="0"/>
                <w:numId w:val="2"/>
              </w:numPr>
            </w:pPr>
            <w:r>
              <w:t>Identity Security Engineering</w:t>
            </w:r>
          </w:p>
        </w:tc>
        <w:tc>
          <w:tcPr>
            <w:tcW w:w="4347" w:type="dxa"/>
          </w:tcPr>
          <w:p w14:paraId="11BE2FD6" w14:textId="77777777" w:rsidR="003D50DA" w:rsidRDefault="003D50DA" w:rsidP="003D50DA">
            <w:pPr>
              <w:pStyle w:val="ListParagraph"/>
              <w:numPr>
                <w:ilvl w:val="0"/>
                <w:numId w:val="2"/>
              </w:numPr>
            </w:pPr>
            <w:r>
              <w:t>Detection &amp; Recovery</w:t>
            </w:r>
          </w:p>
        </w:tc>
      </w:tr>
      <w:tr w:rsidR="003D50DA" w14:paraId="15B7CEB0" w14:textId="77777777" w:rsidTr="009966D1">
        <w:tc>
          <w:tcPr>
            <w:tcW w:w="4283" w:type="dxa"/>
          </w:tcPr>
          <w:p w14:paraId="0AD2C908" w14:textId="77777777" w:rsidR="003D50DA" w:rsidRDefault="003D50DA" w:rsidP="003D50DA">
            <w:pPr>
              <w:pStyle w:val="ListParagraph"/>
              <w:numPr>
                <w:ilvl w:val="0"/>
                <w:numId w:val="2"/>
              </w:numPr>
            </w:pPr>
            <w:r>
              <w:t>Operational Lessons Learned</w:t>
            </w:r>
          </w:p>
        </w:tc>
        <w:tc>
          <w:tcPr>
            <w:tcW w:w="4347" w:type="dxa"/>
          </w:tcPr>
          <w:p w14:paraId="5376F592" w14:textId="77777777" w:rsidR="003D50DA" w:rsidRDefault="003D50DA" w:rsidP="003D50DA">
            <w:pPr>
              <w:pStyle w:val="ListParagraph"/>
              <w:numPr>
                <w:ilvl w:val="0"/>
                <w:numId w:val="2"/>
              </w:numPr>
            </w:pPr>
            <w:r>
              <w:t>Future Modernization</w:t>
            </w:r>
          </w:p>
        </w:tc>
      </w:tr>
    </w:tbl>
    <w:p w14:paraId="4780F7F3" w14:textId="77777777" w:rsidR="003D50DA" w:rsidRDefault="003D50DA" w:rsidP="003D50DA">
      <w:pPr>
        <w:pStyle w:val="ListParagraph"/>
      </w:pPr>
    </w:p>
    <w:p w14:paraId="39B50017" w14:textId="77777777" w:rsidR="003D50DA" w:rsidRPr="00895654" w:rsidRDefault="003D50DA" w:rsidP="003D50DA">
      <w:pPr>
        <w:pStyle w:val="ListParagraph"/>
        <w:numPr>
          <w:ilvl w:val="0"/>
          <w:numId w:val="3"/>
        </w:numPr>
        <w:rPr>
          <w:b/>
          <w:bCs/>
          <w:color w:val="FF0066"/>
        </w:rPr>
      </w:pPr>
      <w:r w:rsidRPr="00895654">
        <w:rPr>
          <w:b/>
          <w:bCs/>
          <w:color w:val="FF0066"/>
        </w:rPr>
        <w:t>Standards, Security Frameworks, and Guidance Covered</w:t>
      </w:r>
    </w:p>
    <w:p w14:paraId="6FD151E3" w14:textId="77777777" w:rsidR="003D50DA" w:rsidRDefault="003D50DA" w:rsidP="003D50DA">
      <w:pPr>
        <w:pStyle w:val="ListParagraph"/>
      </w:pPr>
      <w:r>
        <w:t>Chapter 1 introduces several standards, security frameworks, and guidance sources at a conceptual level. They are not analyzed in depth here. Later chapters will expand them in greater detail.</w:t>
      </w:r>
    </w:p>
    <w:p w14:paraId="4C3F6202" w14:textId="77777777" w:rsidR="003D50DA" w:rsidRDefault="003D50DA" w:rsidP="003D50DA">
      <w:pPr>
        <w:pStyle w:val="ListParagraph"/>
      </w:pPr>
    </w:p>
    <w:p w14:paraId="369FB9F9" w14:textId="77777777" w:rsidR="003D50DA" w:rsidRDefault="003D50DA" w:rsidP="003D50DA">
      <w:pPr>
        <w:pStyle w:val="ListParagraph"/>
      </w:pPr>
      <w:r w:rsidRPr="0049782F">
        <w:rPr>
          <w:b/>
          <w:bCs/>
        </w:rPr>
        <w:t>FICAM/ICAM Guidance</w:t>
      </w:r>
      <w:r>
        <w:t xml:space="preserve"> is introduced as the federal governance model for identity, credential, access, federation, assurance, and lifecycle management.</w:t>
      </w:r>
    </w:p>
    <w:p w14:paraId="28AE57BB" w14:textId="77777777" w:rsidR="003D50DA" w:rsidRDefault="003D50DA" w:rsidP="003D50DA">
      <w:pPr>
        <w:pStyle w:val="ListParagraph"/>
      </w:pPr>
    </w:p>
    <w:p w14:paraId="43686558" w14:textId="77777777" w:rsidR="003D50DA" w:rsidRDefault="003D50DA" w:rsidP="003D50DA">
      <w:pPr>
        <w:pStyle w:val="ListParagraph"/>
      </w:pPr>
      <w:r>
        <w:rPr>
          <w:b/>
          <w:bCs/>
        </w:rPr>
        <w:t>NIST SP 800-63</w:t>
      </w:r>
      <w:r>
        <w:t xml:space="preserve">, </w:t>
      </w:r>
      <w:r>
        <w:rPr>
          <w:i/>
          <w:iCs/>
        </w:rPr>
        <w:t>Digital Identity Guidelines</w:t>
      </w:r>
      <w:r>
        <w:t xml:space="preserve"> are introduced as a major reference point for identity proofing, authentication assurance, and federation assurance.</w:t>
      </w:r>
    </w:p>
    <w:p w14:paraId="1704B497" w14:textId="77777777" w:rsidR="003D50DA" w:rsidRDefault="003D50DA" w:rsidP="003D50DA">
      <w:pPr>
        <w:pStyle w:val="ListParagraph"/>
      </w:pPr>
    </w:p>
    <w:p w14:paraId="2A90D39B" w14:textId="77777777" w:rsidR="003D50DA" w:rsidRDefault="003D50DA" w:rsidP="003D50DA">
      <w:pPr>
        <w:pStyle w:val="ListParagraph"/>
      </w:pPr>
      <w:r>
        <w:rPr>
          <w:b/>
          <w:bCs/>
        </w:rPr>
        <w:t>NIST SP 800-53</w:t>
      </w:r>
      <w:r>
        <w:t xml:space="preserve">, </w:t>
      </w:r>
      <w:r>
        <w:rPr>
          <w:i/>
          <w:iCs/>
        </w:rPr>
        <w:t xml:space="preserve">Security and Privacy Controls </w:t>
      </w:r>
      <w:r>
        <w:t>are introduced as a major security control catalog that directly affects identity, access control, auditability, accountability, monitoring, configuration management, incident response, and system integrity.</w:t>
      </w:r>
    </w:p>
    <w:p w14:paraId="1112B77B" w14:textId="77777777" w:rsidR="003D50DA" w:rsidRDefault="003D50DA" w:rsidP="003D50DA">
      <w:pPr>
        <w:pStyle w:val="ListParagraph"/>
      </w:pPr>
    </w:p>
    <w:p w14:paraId="161598D1" w14:textId="77777777" w:rsidR="003D50DA" w:rsidRDefault="003D50DA" w:rsidP="003D50DA">
      <w:pPr>
        <w:pStyle w:val="ListParagraph"/>
      </w:pPr>
      <w:r>
        <w:rPr>
          <w:b/>
          <w:bCs/>
        </w:rPr>
        <w:t>NIST SP 800-37</w:t>
      </w:r>
      <w:r>
        <w:t xml:space="preserve">, </w:t>
      </w:r>
      <w:r>
        <w:rPr>
          <w:i/>
          <w:iCs/>
        </w:rPr>
        <w:t>Risk Management Framework (RMF)</w:t>
      </w:r>
      <w:r>
        <w:t xml:space="preserve"> is introduced as the federal risk management framework, a process that connects identity security to authorization, assessment, continuous monitoring, and mission risk.</w:t>
      </w:r>
    </w:p>
    <w:p w14:paraId="55944711" w14:textId="77777777" w:rsidR="003D50DA" w:rsidRDefault="003D50DA" w:rsidP="003D50DA">
      <w:pPr>
        <w:pStyle w:val="ListParagraph"/>
      </w:pPr>
    </w:p>
    <w:p w14:paraId="34773968" w14:textId="77777777" w:rsidR="003D50DA" w:rsidRDefault="003D50DA" w:rsidP="003D50DA">
      <w:pPr>
        <w:pStyle w:val="ListParagraph"/>
      </w:pPr>
      <w:r>
        <w:rPr>
          <w:b/>
          <w:bCs/>
        </w:rPr>
        <w:t>NIST SP 800-207</w:t>
      </w:r>
      <w:r>
        <w:t xml:space="preserve">, </w:t>
      </w:r>
      <w:r>
        <w:rPr>
          <w:i/>
          <w:iCs/>
        </w:rPr>
        <w:t>Zero Trust Architecture (ZTA)</w:t>
      </w:r>
      <w:r>
        <w:t xml:space="preserve"> is introduced as a modernization model that depends heavily on strong identity, continuous verification, and Principle of Least Privilege.</w:t>
      </w:r>
    </w:p>
    <w:p w14:paraId="5CE229A4" w14:textId="77777777" w:rsidR="003D50DA" w:rsidRDefault="003D50DA" w:rsidP="003D50DA">
      <w:pPr>
        <w:pStyle w:val="ListParagraph"/>
      </w:pPr>
    </w:p>
    <w:p w14:paraId="6B6450C4" w14:textId="77777777" w:rsidR="003D50DA" w:rsidRDefault="003D50DA" w:rsidP="003D50DA">
      <w:pPr>
        <w:pStyle w:val="ListParagraph"/>
      </w:pPr>
      <w:r>
        <w:rPr>
          <w:b/>
          <w:bCs/>
        </w:rPr>
        <w:lastRenderedPageBreak/>
        <w:t>FIPS 201</w:t>
      </w:r>
      <w:r>
        <w:t xml:space="preserve"> and </w:t>
      </w:r>
      <w:r>
        <w:rPr>
          <w:b/>
          <w:bCs/>
        </w:rPr>
        <w:t>HSPD-12</w:t>
      </w:r>
      <w:r>
        <w:t xml:space="preserve"> are introduced as federal identity credentialing </w:t>
      </w:r>
      <w:proofErr w:type="spellStart"/>
      <w:r>
        <w:t>foudnations</w:t>
      </w:r>
      <w:proofErr w:type="spellEnd"/>
      <w:r>
        <w:t xml:space="preserve"> relevant to Personal Identity Verification (PIV), Common Access Card (CAC), and federal authentication models.</w:t>
      </w:r>
    </w:p>
    <w:p w14:paraId="027B6764" w14:textId="77777777" w:rsidR="003D50DA" w:rsidRDefault="003D50DA" w:rsidP="003D50DA">
      <w:pPr>
        <w:pStyle w:val="ListParagraph"/>
      </w:pPr>
    </w:p>
    <w:p w14:paraId="533A284A" w14:textId="77777777" w:rsidR="003D50DA" w:rsidRDefault="003D50DA" w:rsidP="003D50DA">
      <w:pPr>
        <w:pStyle w:val="ListParagraph"/>
      </w:pPr>
      <w:r>
        <w:rPr>
          <w:b/>
          <w:bCs/>
        </w:rPr>
        <w:t>MITRE ATT&amp;CK Framework</w:t>
      </w:r>
      <w:r>
        <w:t xml:space="preserve"> is introduced as an adversarial behavior framework used throughout later chapters to map identity attacks, credential access, privilege escalation, lateral movement, persistence, and detection opportunities.</w:t>
      </w:r>
    </w:p>
    <w:p w14:paraId="79288B3A" w14:textId="77777777" w:rsidR="003D50DA" w:rsidRDefault="003D50DA" w:rsidP="003D50DA">
      <w:pPr>
        <w:pStyle w:val="ListParagraph"/>
      </w:pPr>
    </w:p>
    <w:p w14:paraId="237239F1" w14:textId="77777777" w:rsidR="003D50DA" w:rsidRDefault="003D50DA" w:rsidP="003D50DA">
      <w:pPr>
        <w:pStyle w:val="ListParagraph"/>
      </w:pPr>
      <w:r>
        <w:rPr>
          <w:b/>
          <w:bCs/>
        </w:rPr>
        <w:t>MITRE D3FEND</w:t>
      </w:r>
      <w:r>
        <w:t xml:space="preserve"> is introduced as a defensive countermeasure framework that can help readers think about hardening, detection, defensive design, and deceptive security tactics, techniques, and procedures.</w:t>
      </w:r>
    </w:p>
    <w:p w14:paraId="70258E6A" w14:textId="77777777" w:rsidR="003D50DA" w:rsidRDefault="003D50DA" w:rsidP="003D50DA">
      <w:pPr>
        <w:pStyle w:val="ListParagraph"/>
      </w:pPr>
    </w:p>
    <w:p w14:paraId="6BD57DBA" w14:textId="77777777" w:rsidR="003D50DA" w:rsidRDefault="003D50DA" w:rsidP="003D50DA">
      <w:pPr>
        <w:pStyle w:val="ListParagraph"/>
      </w:pPr>
      <w:r>
        <w:rPr>
          <w:b/>
          <w:bCs/>
        </w:rPr>
        <w:t xml:space="preserve">DISA STIGs </w:t>
      </w:r>
      <w:r>
        <w:t xml:space="preserve">and </w:t>
      </w:r>
      <w:r>
        <w:rPr>
          <w:b/>
          <w:bCs/>
        </w:rPr>
        <w:t>SRGs</w:t>
      </w:r>
      <w:r>
        <w:t xml:space="preserve"> are introduced as federal and defense baseline references that later chapters use when discussing network- and host-level hardening, configuration validation, secure baseline implementation, and operational control enforcement.</w:t>
      </w:r>
    </w:p>
    <w:p w14:paraId="78454745" w14:textId="77777777" w:rsidR="003D50DA" w:rsidRDefault="003D50DA" w:rsidP="003D50DA">
      <w:pPr>
        <w:pStyle w:val="ListParagraph"/>
      </w:pPr>
    </w:p>
    <w:p w14:paraId="14CC2844" w14:textId="77777777" w:rsidR="003D50DA" w:rsidRPr="00895654" w:rsidRDefault="003D50DA" w:rsidP="003D50DA">
      <w:pPr>
        <w:pStyle w:val="ListParagraph"/>
        <w:numPr>
          <w:ilvl w:val="0"/>
          <w:numId w:val="3"/>
        </w:numPr>
        <w:rPr>
          <w:b/>
          <w:bCs/>
          <w:color w:val="FF0066"/>
        </w:rPr>
      </w:pPr>
      <w:r w:rsidRPr="00895654">
        <w:rPr>
          <w:b/>
          <w:bCs/>
          <w:color w:val="FF0066"/>
        </w:rPr>
        <w:t>Included Figures</w:t>
      </w:r>
    </w:p>
    <w:p w14:paraId="77317877" w14:textId="77777777" w:rsidR="003D50DA" w:rsidRDefault="003D50DA" w:rsidP="003D50DA">
      <w:pPr>
        <w:pStyle w:val="ListParagraph"/>
        <w:rPr>
          <w:b/>
          <w:bCs/>
        </w:rPr>
      </w:pPr>
      <w:r>
        <w:rPr>
          <w:b/>
          <w:bCs/>
        </w:rPr>
        <w:t>Figure 1.1 – Identity as the Modern Security Boundary</w:t>
      </w:r>
    </w:p>
    <w:p w14:paraId="3FE75D2C" w14:textId="77777777" w:rsidR="003D50DA" w:rsidRDefault="003D50DA" w:rsidP="003D50DA">
      <w:pPr>
        <w:pStyle w:val="ListParagraph"/>
      </w:pPr>
      <w:r>
        <w:t>A conceptual diagram showing how users, administrators, devices, applications, services accounts, workloads, certificates, tokens, federation relationships, and cloud identities all converge around the enterprise identity control plane.</w:t>
      </w:r>
    </w:p>
    <w:p w14:paraId="29EE4936" w14:textId="77777777" w:rsidR="003D50DA" w:rsidRDefault="003D50DA" w:rsidP="003D50DA">
      <w:pPr>
        <w:pStyle w:val="ListParagraph"/>
      </w:pPr>
    </w:p>
    <w:p w14:paraId="357B697F" w14:textId="77777777" w:rsidR="003D50DA" w:rsidRDefault="003D50DA" w:rsidP="003D50DA">
      <w:pPr>
        <w:pStyle w:val="ListParagraph"/>
        <w:rPr>
          <w:b/>
          <w:bCs/>
        </w:rPr>
      </w:pPr>
      <w:r>
        <w:rPr>
          <w:b/>
          <w:bCs/>
        </w:rPr>
        <w:t>Figure 1.2 – The Identity Security Lifecycle Used in This Book</w:t>
      </w:r>
    </w:p>
    <w:p w14:paraId="5A8AEE8C" w14:textId="77777777" w:rsidR="003D50DA" w:rsidRDefault="003D50DA" w:rsidP="003D50DA">
      <w:pPr>
        <w:pStyle w:val="ListParagraph"/>
      </w:pPr>
      <w:r>
        <w:t>A lifecycle diagram showing the progression from identity awareness, governance, infrastructure, assessment, hardening, reconnaissance, enumeration, initial access, credential acquisition, authority expansion, mobility, persistence, detection, recovery, operational lessons, and future modernization.</w:t>
      </w:r>
    </w:p>
    <w:p w14:paraId="1EEE60A8" w14:textId="77777777" w:rsidR="003D50DA" w:rsidRDefault="003D50DA" w:rsidP="003D50DA">
      <w:pPr>
        <w:pStyle w:val="ListParagraph"/>
      </w:pPr>
    </w:p>
    <w:p w14:paraId="39FEC0CF" w14:textId="77777777" w:rsidR="003D50DA" w:rsidRDefault="003D50DA" w:rsidP="003D50DA">
      <w:pPr>
        <w:pStyle w:val="ListParagraph"/>
        <w:rPr>
          <w:b/>
          <w:bCs/>
        </w:rPr>
      </w:pPr>
      <w:r>
        <w:rPr>
          <w:b/>
          <w:bCs/>
        </w:rPr>
        <w:t>Figure 1.3 – Active Directory as the Enterprise Identity Backbone</w:t>
      </w:r>
    </w:p>
    <w:p w14:paraId="7D378C61" w14:textId="77777777" w:rsidR="003D50DA" w:rsidRDefault="003D50DA" w:rsidP="003D50DA">
      <w:pPr>
        <w:pStyle w:val="ListParagraph"/>
      </w:pPr>
      <w:r>
        <w:t>A high-level diagram showing domains, forests, Domain Controllers, Kerberos, LDAP, DNS, Group Policy, trusts, PKI, AD CS, AD FS, and hybrid identity relationships.</w:t>
      </w:r>
    </w:p>
    <w:p w14:paraId="57115481" w14:textId="77777777" w:rsidR="003D50DA" w:rsidRDefault="003D50DA" w:rsidP="003D50DA">
      <w:pPr>
        <w:pStyle w:val="ListParagraph"/>
      </w:pPr>
    </w:p>
    <w:p w14:paraId="4EE3CF06" w14:textId="77777777" w:rsidR="003D50DA" w:rsidRDefault="003D50DA" w:rsidP="003D50DA">
      <w:pPr>
        <w:pStyle w:val="ListParagraph"/>
        <w:rPr>
          <w:b/>
          <w:bCs/>
        </w:rPr>
      </w:pPr>
      <w:r>
        <w:rPr>
          <w:b/>
          <w:bCs/>
        </w:rPr>
        <w:t>Figure 1.4 – FICAM as the Federal Governance Lens</w:t>
      </w:r>
    </w:p>
    <w:p w14:paraId="148A042E" w14:textId="77777777" w:rsidR="003D50DA" w:rsidRDefault="003D50DA" w:rsidP="003D50DA">
      <w:pPr>
        <w:pStyle w:val="ListParagraph"/>
      </w:pPr>
      <w:r>
        <w:t>A conceptual model showing identity governance, credential governance, access governance, federation, assurance, lifecycle management, and mission assurance.</w:t>
      </w:r>
    </w:p>
    <w:p w14:paraId="0DCF1AE0" w14:textId="77777777" w:rsidR="003D50DA" w:rsidRDefault="003D50DA" w:rsidP="003D50DA">
      <w:pPr>
        <w:pStyle w:val="ListParagraph"/>
      </w:pPr>
    </w:p>
    <w:p w14:paraId="5D46C5C3" w14:textId="77777777" w:rsidR="003D50DA" w:rsidRDefault="003D50DA" w:rsidP="003D50DA">
      <w:pPr>
        <w:pStyle w:val="ListParagraph"/>
        <w:rPr>
          <w:b/>
          <w:bCs/>
        </w:rPr>
      </w:pPr>
      <w:r>
        <w:rPr>
          <w:b/>
          <w:bCs/>
        </w:rPr>
        <w:lastRenderedPageBreak/>
        <w:t>Figure 1.5 – Identity as the Attacker’s Operational Pathway</w:t>
      </w:r>
    </w:p>
    <w:p w14:paraId="7F1DA121" w14:textId="77777777" w:rsidR="003D50DA" w:rsidRDefault="003D50DA" w:rsidP="003D50DA">
      <w:pPr>
        <w:pStyle w:val="ListParagraph"/>
      </w:pPr>
      <w:r>
        <w:t>A simplified adversary-path diagram showing how attackers move from reconnaissance to trusted identity acquisition, credential theft, privilege expansion, lateral movement, persistence, and domain dominance.</w:t>
      </w:r>
    </w:p>
    <w:p w14:paraId="2EBB6048" w14:textId="77777777" w:rsidR="003D50DA" w:rsidRDefault="003D50DA" w:rsidP="003D50DA">
      <w:pPr>
        <w:pStyle w:val="ListParagraph"/>
      </w:pPr>
    </w:p>
    <w:p w14:paraId="65697635" w14:textId="77777777" w:rsidR="003D50DA" w:rsidRPr="00895654" w:rsidRDefault="003D50DA" w:rsidP="003D50DA">
      <w:pPr>
        <w:pStyle w:val="ListParagraph"/>
        <w:numPr>
          <w:ilvl w:val="0"/>
          <w:numId w:val="3"/>
        </w:numPr>
        <w:rPr>
          <w:b/>
          <w:bCs/>
          <w:color w:val="FF0066"/>
        </w:rPr>
      </w:pPr>
      <w:r w:rsidRPr="00895654">
        <w:rPr>
          <w:b/>
          <w:bCs/>
          <w:color w:val="FF0066"/>
        </w:rPr>
        <w:t>Included Tables</w:t>
      </w:r>
    </w:p>
    <w:p w14:paraId="19E8B71B" w14:textId="77777777" w:rsidR="003D50DA" w:rsidRDefault="003D50DA" w:rsidP="003D50DA">
      <w:pPr>
        <w:pStyle w:val="ListParagraph"/>
        <w:rPr>
          <w:b/>
          <w:bCs/>
        </w:rPr>
      </w:pPr>
      <w:r>
        <w:rPr>
          <w:b/>
          <w:bCs/>
        </w:rPr>
        <w:t>Table 1.1 – Traditional Security Boundary versus Identity Security Boundary</w:t>
      </w:r>
    </w:p>
    <w:p w14:paraId="0FC55736" w14:textId="77777777" w:rsidR="003D50DA" w:rsidRDefault="003D50DA" w:rsidP="003D50DA">
      <w:pPr>
        <w:pStyle w:val="ListParagraph"/>
      </w:pPr>
      <w:r>
        <w:t>Compares perimeter-centric thinking with identity-centric security thinking.</w:t>
      </w:r>
    </w:p>
    <w:p w14:paraId="20AF6246" w14:textId="77777777" w:rsidR="003D50DA" w:rsidRDefault="003D50DA" w:rsidP="003D50DA">
      <w:pPr>
        <w:pStyle w:val="ListParagraph"/>
      </w:pPr>
    </w:p>
    <w:p w14:paraId="0359DEFE" w14:textId="77777777" w:rsidR="003D50DA" w:rsidRDefault="003D50DA" w:rsidP="003D50DA">
      <w:pPr>
        <w:pStyle w:val="ListParagraph"/>
        <w:rPr>
          <w:b/>
          <w:bCs/>
        </w:rPr>
      </w:pPr>
      <w:r>
        <w:rPr>
          <w:b/>
          <w:bCs/>
        </w:rPr>
        <w:t>Table 1.2 – Core Identity Concepts and Security Questions</w:t>
      </w:r>
    </w:p>
    <w:p w14:paraId="29CC554C" w14:textId="77777777" w:rsidR="003D50DA" w:rsidRDefault="003D50DA" w:rsidP="003D50DA">
      <w:pPr>
        <w:pStyle w:val="ListParagraph"/>
      </w:pPr>
      <w:r>
        <w:t>A mapping that details identity, credential, authentication, authorization, accounting, trust, federation, and privilege to the security questions defenders must know how to ask and defend.</w:t>
      </w:r>
    </w:p>
    <w:p w14:paraId="1EF0FFBB" w14:textId="77777777" w:rsidR="003D50DA" w:rsidRDefault="003D50DA" w:rsidP="003D50DA">
      <w:pPr>
        <w:pStyle w:val="ListParagraph"/>
      </w:pPr>
    </w:p>
    <w:p w14:paraId="1E8F687A" w14:textId="77777777" w:rsidR="003D50DA" w:rsidRDefault="003D50DA" w:rsidP="003D50DA">
      <w:pPr>
        <w:pStyle w:val="ListParagraph"/>
        <w:rPr>
          <w:b/>
          <w:bCs/>
        </w:rPr>
      </w:pPr>
      <w:r>
        <w:rPr>
          <w:b/>
          <w:bCs/>
        </w:rPr>
        <w:t>Table 1.3 – Identity Security Roles in Federal Environments</w:t>
      </w:r>
    </w:p>
    <w:p w14:paraId="7EA7C4FE" w14:textId="77777777" w:rsidR="003D50DA" w:rsidRDefault="003D50DA" w:rsidP="003D50DA">
      <w:pPr>
        <w:pStyle w:val="ListParagraph"/>
      </w:pPr>
      <w:proofErr w:type="gramStart"/>
      <w:r>
        <w:t>Compares</w:t>
      </w:r>
      <w:proofErr w:type="gramEnd"/>
      <w:r>
        <w:t xml:space="preserve"> the responsibilities of identity engineers, systems administrators, ISSOs, ISSMs, SOC analysts, CSSPs, system owners, </w:t>
      </w:r>
      <w:r>
        <w:rPr>
          <w:b/>
          <w:bCs/>
        </w:rPr>
        <w:t>Authorizing Officials (AOs)</w:t>
      </w:r>
      <w:r>
        <w:t>, and mission owners.</w:t>
      </w:r>
    </w:p>
    <w:p w14:paraId="053D38B7" w14:textId="77777777" w:rsidR="003D50DA" w:rsidRDefault="003D50DA" w:rsidP="003D50DA">
      <w:pPr>
        <w:pStyle w:val="ListParagraph"/>
      </w:pPr>
    </w:p>
    <w:p w14:paraId="18B58273" w14:textId="77777777" w:rsidR="003D50DA" w:rsidRDefault="003D50DA" w:rsidP="003D50DA">
      <w:pPr>
        <w:pStyle w:val="ListParagraph"/>
        <w:rPr>
          <w:b/>
          <w:bCs/>
        </w:rPr>
      </w:pPr>
      <w:r>
        <w:rPr>
          <w:b/>
          <w:bCs/>
        </w:rPr>
        <w:t>Table 1.4 – Identity Attack Surface Categories</w:t>
      </w:r>
    </w:p>
    <w:p w14:paraId="065A3193" w14:textId="77777777" w:rsidR="003D50DA" w:rsidRDefault="003D50DA" w:rsidP="003D50DA">
      <w:pPr>
        <w:pStyle w:val="ListParagraph"/>
      </w:pPr>
      <w:r>
        <w:t>This table lists users, privileged accounts, service accounts, groups, Kerberos, NTLM, certificates, federation, cloud roles, tokens, trusts, and machine identities and presents why these vectors are considered major identity attack surface categories.</w:t>
      </w:r>
    </w:p>
    <w:p w14:paraId="4D2C85EE" w14:textId="77777777" w:rsidR="003D50DA" w:rsidRDefault="003D50DA" w:rsidP="003D50DA">
      <w:pPr>
        <w:pStyle w:val="ListParagraph"/>
      </w:pPr>
    </w:p>
    <w:p w14:paraId="401AD7C6" w14:textId="77777777" w:rsidR="003D50DA" w:rsidRPr="00895654" w:rsidRDefault="003D50DA" w:rsidP="003D50DA">
      <w:pPr>
        <w:pStyle w:val="ListParagraph"/>
        <w:numPr>
          <w:ilvl w:val="0"/>
          <w:numId w:val="3"/>
        </w:numPr>
        <w:rPr>
          <w:b/>
          <w:bCs/>
          <w:color w:val="FF0066"/>
        </w:rPr>
      </w:pPr>
      <w:r w:rsidRPr="00895654">
        <w:rPr>
          <w:b/>
          <w:bCs/>
          <w:color w:val="FF0066"/>
        </w:rPr>
        <w:t>Included Case Studies</w:t>
      </w:r>
    </w:p>
    <w:p w14:paraId="60D49860" w14:textId="77777777" w:rsidR="003D50DA" w:rsidRDefault="003D50DA" w:rsidP="003D50DA">
      <w:pPr>
        <w:pStyle w:val="ListParagraph"/>
        <w:rPr>
          <w:b/>
          <w:bCs/>
        </w:rPr>
      </w:pPr>
      <w:r>
        <w:rPr>
          <w:b/>
          <w:bCs/>
        </w:rPr>
        <w:t>Case Study 1.1 – The Door Was Identity</w:t>
      </w:r>
    </w:p>
    <w:p w14:paraId="56E685B9" w14:textId="77777777" w:rsidR="003D50DA" w:rsidRDefault="003D50DA" w:rsidP="003D50DA">
      <w:pPr>
        <w:pStyle w:val="ListParagraph"/>
      </w:pPr>
      <w:r>
        <w:t>A short opening scenario showing that an adversary did not need to exploit a firewall or deploy malware first. The adversary succeeded because a weak identity pathway allowed them to become trusted.</w:t>
      </w:r>
    </w:p>
    <w:p w14:paraId="64A4E4CB" w14:textId="77777777" w:rsidR="003D50DA" w:rsidRDefault="003D50DA" w:rsidP="003D50DA">
      <w:pPr>
        <w:pStyle w:val="ListParagraph"/>
      </w:pPr>
    </w:p>
    <w:p w14:paraId="24EA30BD" w14:textId="77777777" w:rsidR="003D50DA" w:rsidRDefault="003D50DA" w:rsidP="003D50DA">
      <w:pPr>
        <w:pStyle w:val="ListParagraph"/>
        <w:rPr>
          <w:b/>
          <w:bCs/>
        </w:rPr>
      </w:pPr>
      <w:r>
        <w:rPr>
          <w:b/>
          <w:bCs/>
        </w:rPr>
        <w:t>Case Study 1.2 – The New Engineer and the Production Domain</w:t>
      </w:r>
    </w:p>
    <w:p w14:paraId="475C9934" w14:textId="77777777" w:rsidR="003D50DA" w:rsidRDefault="003D50DA" w:rsidP="003D50DA">
      <w:pPr>
        <w:pStyle w:val="ListParagraph"/>
      </w:pPr>
      <w:r>
        <w:t>A scenario showing a junior engineer entering a federal, military, or defense identity environment and realizing that the diagrams, accounts, privileges, trusts, and operational reality did not match.</w:t>
      </w:r>
    </w:p>
    <w:p w14:paraId="466E31DD" w14:textId="77777777" w:rsidR="003D50DA" w:rsidRDefault="003D50DA" w:rsidP="003D50DA">
      <w:pPr>
        <w:pStyle w:val="ListParagraph"/>
      </w:pPr>
    </w:p>
    <w:p w14:paraId="0C7BBA30" w14:textId="77777777" w:rsidR="003D50DA" w:rsidRDefault="003D50DA" w:rsidP="003D50DA">
      <w:pPr>
        <w:pStyle w:val="ListParagraph"/>
        <w:rPr>
          <w:b/>
          <w:bCs/>
        </w:rPr>
      </w:pPr>
      <w:r>
        <w:rPr>
          <w:b/>
          <w:bCs/>
        </w:rPr>
        <w:t>Case Study 1.3 – The Compliance Package Looked Just Fine</w:t>
      </w:r>
    </w:p>
    <w:p w14:paraId="01A2812F" w14:textId="77777777" w:rsidR="003D50DA" w:rsidRDefault="003D50DA" w:rsidP="003D50DA">
      <w:pPr>
        <w:pStyle w:val="ListParagraph"/>
      </w:pPr>
      <w:r>
        <w:lastRenderedPageBreak/>
        <w:t>A scenario showing how an environment may appear compliant on paper while still containing excessive privileges, stale, dormant, or orphaned accounts, weak service account governance, undocumented everything, and identity risk.</w:t>
      </w:r>
    </w:p>
    <w:p w14:paraId="52428EF6" w14:textId="77777777" w:rsidR="003D50DA" w:rsidRDefault="003D50DA" w:rsidP="003D50DA">
      <w:pPr>
        <w:pStyle w:val="ListParagraph"/>
      </w:pPr>
    </w:p>
    <w:p w14:paraId="5E73579F" w14:textId="77777777" w:rsidR="003D50DA" w:rsidRPr="00895654" w:rsidRDefault="003D50DA" w:rsidP="003D50DA">
      <w:pPr>
        <w:pStyle w:val="ListParagraph"/>
        <w:numPr>
          <w:ilvl w:val="0"/>
          <w:numId w:val="3"/>
        </w:numPr>
        <w:rPr>
          <w:b/>
          <w:bCs/>
          <w:color w:val="FF0066"/>
        </w:rPr>
      </w:pPr>
      <w:r w:rsidRPr="00895654">
        <w:rPr>
          <w:b/>
          <w:bCs/>
          <w:color w:val="FF0066"/>
        </w:rPr>
        <w:t>Included Labs / Exercises</w:t>
      </w:r>
    </w:p>
    <w:p w14:paraId="09F5556B" w14:textId="77777777" w:rsidR="003D50DA" w:rsidRDefault="003D50DA" w:rsidP="003D50DA">
      <w:pPr>
        <w:pStyle w:val="ListParagraph"/>
        <w:rPr>
          <w:b/>
          <w:bCs/>
        </w:rPr>
      </w:pPr>
      <w:r>
        <w:rPr>
          <w:b/>
          <w:bCs/>
        </w:rPr>
        <w:t>Exercise 1.1 – Identify the Identity Control Plane</w:t>
      </w:r>
    </w:p>
    <w:p w14:paraId="23DA9781" w14:textId="77777777" w:rsidR="003D50DA" w:rsidRDefault="003D50DA" w:rsidP="003D50DA">
      <w:pPr>
        <w:pStyle w:val="ListParagraph"/>
      </w:pPr>
      <w:r>
        <w:t>Readers will review a fictional enterprise architecture and identify which components participate in identity, authentication, authorization, credentialing, federation, and trust.</w:t>
      </w:r>
    </w:p>
    <w:p w14:paraId="13F2FB18" w14:textId="77777777" w:rsidR="003D50DA" w:rsidRDefault="003D50DA" w:rsidP="003D50DA">
      <w:pPr>
        <w:pStyle w:val="ListParagraph"/>
      </w:pPr>
    </w:p>
    <w:p w14:paraId="6B978947" w14:textId="77777777" w:rsidR="003D50DA" w:rsidRDefault="003D50DA" w:rsidP="003D50DA">
      <w:pPr>
        <w:pStyle w:val="ListParagraph"/>
        <w:rPr>
          <w:b/>
          <w:bCs/>
        </w:rPr>
      </w:pPr>
      <w:r>
        <w:rPr>
          <w:b/>
          <w:bCs/>
        </w:rPr>
        <w:t>Exercise 1.2 – Map the Identity Attack Surface</w:t>
      </w:r>
    </w:p>
    <w:p w14:paraId="2F7A6686" w14:textId="77777777" w:rsidR="003D50DA" w:rsidRDefault="003D50DA" w:rsidP="003D50DA">
      <w:pPr>
        <w:pStyle w:val="ListParagraph"/>
      </w:pPr>
      <w:r>
        <w:t>Readers create a high-level identity attack surface map for a fictional agency environment.</w:t>
      </w:r>
    </w:p>
    <w:p w14:paraId="05BBF4BB" w14:textId="77777777" w:rsidR="003D50DA" w:rsidRDefault="003D50DA" w:rsidP="003D50DA">
      <w:pPr>
        <w:pStyle w:val="ListParagraph"/>
      </w:pPr>
    </w:p>
    <w:p w14:paraId="16A85971" w14:textId="77777777" w:rsidR="003D50DA" w:rsidRDefault="003D50DA" w:rsidP="003D50DA">
      <w:pPr>
        <w:pStyle w:val="ListParagraph"/>
        <w:rPr>
          <w:b/>
          <w:bCs/>
        </w:rPr>
      </w:pPr>
      <w:r>
        <w:rPr>
          <w:b/>
          <w:bCs/>
        </w:rPr>
        <w:t>Exercise 1.3 – Translate Technical Risk into Mission Risk</w:t>
      </w:r>
    </w:p>
    <w:p w14:paraId="537BFDAB" w14:textId="77777777" w:rsidR="003D50DA" w:rsidRDefault="003D50DA" w:rsidP="003D50DA">
      <w:pPr>
        <w:pStyle w:val="ListParagraph"/>
      </w:pPr>
      <w:r>
        <w:t>Readers take several identity weaknesses and describe how each would affect mission operations.</w:t>
      </w:r>
    </w:p>
    <w:p w14:paraId="56BF7D1C" w14:textId="77777777" w:rsidR="003D50DA" w:rsidRDefault="003D50DA" w:rsidP="003D50DA">
      <w:pPr>
        <w:pStyle w:val="ListParagraph"/>
      </w:pPr>
    </w:p>
    <w:p w14:paraId="0B2F7BE8" w14:textId="77777777" w:rsidR="003D50DA" w:rsidRDefault="003D50DA" w:rsidP="003D50DA">
      <w:pPr>
        <w:pStyle w:val="ListParagraph"/>
        <w:rPr>
          <w:b/>
          <w:bCs/>
        </w:rPr>
      </w:pPr>
      <w:r>
        <w:rPr>
          <w:b/>
          <w:bCs/>
        </w:rPr>
        <w:t>Exercise 1.4 – Attacker and Defender Perspectives’ Comparison</w:t>
      </w:r>
    </w:p>
    <w:p w14:paraId="37B139DD" w14:textId="77777777" w:rsidR="003D50DA" w:rsidRDefault="003D50DA" w:rsidP="003D50DA">
      <w:pPr>
        <w:pStyle w:val="ListParagraph"/>
      </w:pPr>
      <w:r>
        <w:t>Readers will examine the same identity environment from both an attacker’s perspective and a defender’s perspective.</w:t>
      </w:r>
    </w:p>
    <w:p w14:paraId="2505B12C" w14:textId="77777777" w:rsidR="003D50DA" w:rsidRDefault="003D50DA" w:rsidP="003D50DA">
      <w:pPr>
        <w:pStyle w:val="ListParagraph"/>
      </w:pPr>
    </w:p>
    <w:p w14:paraId="666AAF50" w14:textId="77777777" w:rsidR="003D50DA" w:rsidRPr="00895654" w:rsidRDefault="003D50DA" w:rsidP="003D50DA">
      <w:pPr>
        <w:pStyle w:val="ListParagraph"/>
        <w:numPr>
          <w:ilvl w:val="0"/>
          <w:numId w:val="3"/>
        </w:numPr>
        <w:rPr>
          <w:b/>
          <w:bCs/>
          <w:color w:val="FF0066"/>
        </w:rPr>
      </w:pPr>
      <w:r w:rsidRPr="00895654">
        <w:rPr>
          <w:b/>
          <w:bCs/>
          <w:color w:val="FF0066"/>
        </w:rPr>
        <w:t>Offensive Concepts Covered</w:t>
      </w:r>
    </w:p>
    <w:p w14:paraId="25D47119" w14:textId="77777777" w:rsidR="003D50DA" w:rsidRDefault="003D50DA" w:rsidP="003D50DA">
      <w:pPr>
        <w:pStyle w:val="ListParagraph"/>
      </w:pPr>
      <w:r>
        <w:t>Chapter 1 does not teach offensive execution. It introduces offensive thinking at a conceptual level, so defenders understand why identity is often targeted.</w:t>
      </w:r>
    </w:p>
    <w:p w14:paraId="6203882C" w14:textId="77777777" w:rsidR="003D50DA" w:rsidRDefault="003D50DA" w:rsidP="003D50DA">
      <w:pPr>
        <w:pStyle w:val="ListParagraph"/>
      </w:pPr>
    </w:p>
    <w:p w14:paraId="3C8BF3C0" w14:textId="77777777" w:rsidR="003D50DA" w:rsidRDefault="003D50DA" w:rsidP="003D50DA">
      <w:pPr>
        <w:pStyle w:val="ListParagraph"/>
      </w:pPr>
      <w:r>
        <w:t>Offensive concepts introduced include:</w:t>
      </w:r>
    </w:p>
    <w:p w14:paraId="6012D893" w14:textId="77777777" w:rsidR="003D50DA" w:rsidRDefault="003D50DA" w:rsidP="003D50DA">
      <w:pPr>
        <w:pStyle w:val="ListParagraph"/>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3"/>
        <w:gridCol w:w="4367"/>
      </w:tblGrid>
      <w:tr w:rsidR="003D50DA" w14:paraId="34681EA2" w14:textId="77777777" w:rsidTr="009966D1">
        <w:tc>
          <w:tcPr>
            <w:tcW w:w="4675" w:type="dxa"/>
          </w:tcPr>
          <w:p w14:paraId="4E0B78B6" w14:textId="77777777" w:rsidR="003D50DA" w:rsidRDefault="003D50DA" w:rsidP="003D50DA">
            <w:pPr>
              <w:pStyle w:val="ListParagraph"/>
              <w:numPr>
                <w:ilvl w:val="0"/>
                <w:numId w:val="2"/>
              </w:numPr>
            </w:pPr>
            <w:r>
              <w:t>Identity as an attack surface</w:t>
            </w:r>
          </w:p>
        </w:tc>
        <w:tc>
          <w:tcPr>
            <w:tcW w:w="4675" w:type="dxa"/>
          </w:tcPr>
          <w:p w14:paraId="2922BAE1" w14:textId="77777777" w:rsidR="003D50DA" w:rsidRDefault="003D50DA" w:rsidP="003D50DA">
            <w:pPr>
              <w:pStyle w:val="ListParagraph"/>
              <w:numPr>
                <w:ilvl w:val="0"/>
                <w:numId w:val="2"/>
              </w:numPr>
            </w:pPr>
            <w:r>
              <w:t>Valid account abuse</w:t>
            </w:r>
          </w:p>
        </w:tc>
      </w:tr>
      <w:tr w:rsidR="003D50DA" w14:paraId="2150E01C" w14:textId="77777777" w:rsidTr="009966D1">
        <w:tc>
          <w:tcPr>
            <w:tcW w:w="4675" w:type="dxa"/>
          </w:tcPr>
          <w:p w14:paraId="196BFEFA" w14:textId="77777777" w:rsidR="003D50DA" w:rsidRDefault="003D50DA" w:rsidP="003D50DA">
            <w:pPr>
              <w:pStyle w:val="ListParagraph"/>
              <w:numPr>
                <w:ilvl w:val="0"/>
                <w:numId w:val="2"/>
              </w:numPr>
            </w:pPr>
            <w:r>
              <w:t>Credential targeting</w:t>
            </w:r>
          </w:p>
        </w:tc>
        <w:tc>
          <w:tcPr>
            <w:tcW w:w="4675" w:type="dxa"/>
          </w:tcPr>
          <w:p w14:paraId="5F21734B" w14:textId="77777777" w:rsidR="003D50DA" w:rsidRDefault="003D50DA" w:rsidP="003D50DA">
            <w:pPr>
              <w:pStyle w:val="ListParagraph"/>
              <w:numPr>
                <w:ilvl w:val="0"/>
                <w:numId w:val="2"/>
              </w:numPr>
            </w:pPr>
            <w:r>
              <w:t>Trust Relationship Abuse</w:t>
            </w:r>
          </w:p>
        </w:tc>
      </w:tr>
      <w:tr w:rsidR="003D50DA" w14:paraId="17713782" w14:textId="77777777" w:rsidTr="009966D1">
        <w:tc>
          <w:tcPr>
            <w:tcW w:w="4675" w:type="dxa"/>
          </w:tcPr>
          <w:p w14:paraId="36B2602C" w14:textId="77777777" w:rsidR="003D50DA" w:rsidRDefault="003D50DA" w:rsidP="003D50DA">
            <w:pPr>
              <w:pStyle w:val="ListParagraph"/>
              <w:numPr>
                <w:ilvl w:val="0"/>
                <w:numId w:val="2"/>
              </w:numPr>
            </w:pPr>
            <w:r>
              <w:t>Privilege Expansion</w:t>
            </w:r>
          </w:p>
        </w:tc>
        <w:tc>
          <w:tcPr>
            <w:tcW w:w="4675" w:type="dxa"/>
          </w:tcPr>
          <w:p w14:paraId="74205531" w14:textId="77777777" w:rsidR="003D50DA" w:rsidRDefault="003D50DA" w:rsidP="003D50DA">
            <w:pPr>
              <w:pStyle w:val="ListParagraph"/>
              <w:numPr>
                <w:ilvl w:val="0"/>
                <w:numId w:val="2"/>
              </w:numPr>
            </w:pPr>
            <w:r>
              <w:t>Directory Reconnaissance</w:t>
            </w:r>
          </w:p>
        </w:tc>
      </w:tr>
      <w:tr w:rsidR="003D50DA" w14:paraId="740F469A" w14:textId="77777777" w:rsidTr="009966D1">
        <w:tc>
          <w:tcPr>
            <w:tcW w:w="4675" w:type="dxa"/>
          </w:tcPr>
          <w:p w14:paraId="6D6B2FB2" w14:textId="77777777" w:rsidR="003D50DA" w:rsidRDefault="003D50DA" w:rsidP="003D50DA">
            <w:pPr>
              <w:pStyle w:val="ListParagraph"/>
              <w:numPr>
                <w:ilvl w:val="0"/>
                <w:numId w:val="2"/>
              </w:numPr>
            </w:pPr>
            <w:r>
              <w:t>Kerberos abuse</w:t>
            </w:r>
          </w:p>
        </w:tc>
        <w:tc>
          <w:tcPr>
            <w:tcW w:w="4675" w:type="dxa"/>
          </w:tcPr>
          <w:p w14:paraId="4411A5B7" w14:textId="77777777" w:rsidR="003D50DA" w:rsidRDefault="003D50DA" w:rsidP="003D50DA">
            <w:pPr>
              <w:pStyle w:val="ListParagraph"/>
              <w:numPr>
                <w:ilvl w:val="0"/>
                <w:numId w:val="2"/>
              </w:numPr>
            </w:pPr>
            <w:r>
              <w:t>Certificate abuse</w:t>
            </w:r>
          </w:p>
        </w:tc>
      </w:tr>
      <w:tr w:rsidR="003D50DA" w14:paraId="0F1D0950" w14:textId="77777777" w:rsidTr="009966D1">
        <w:tc>
          <w:tcPr>
            <w:tcW w:w="4675" w:type="dxa"/>
          </w:tcPr>
          <w:p w14:paraId="09147C15" w14:textId="77777777" w:rsidR="003D50DA" w:rsidRDefault="003D50DA" w:rsidP="003D50DA">
            <w:pPr>
              <w:pStyle w:val="ListParagraph"/>
              <w:numPr>
                <w:ilvl w:val="0"/>
                <w:numId w:val="2"/>
              </w:numPr>
            </w:pPr>
            <w:r>
              <w:t>Federation abuse</w:t>
            </w:r>
          </w:p>
        </w:tc>
        <w:tc>
          <w:tcPr>
            <w:tcW w:w="4675" w:type="dxa"/>
          </w:tcPr>
          <w:p w14:paraId="71E8E819" w14:textId="77777777" w:rsidR="003D50DA" w:rsidRDefault="003D50DA" w:rsidP="003D50DA">
            <w:pPr>
              <w:pStyle w:val="ListParagraph"/>
              <w:numPr>
                <w:ilvl w:val="0"/>
                <w:numId w:val="2"/>
              </w:numPr>
            </w:pPr>
            <w:r>
              <w:t>Service account targeting</w:t>
            </w:r>
          </w:p>
        </w:tc>
      </w:tr>
      <w:tr w:rsidR="003D50DA" w14:paraId="7233B147" w14:textId="77777777" w:rsidTr="009966D1">
        <w:tc>
          <w:tcPr>
            <w:tcW w:w="4675" w:type="dxa"/>
          </w:tcPr>
          <w:p w14:paraId="67FAE9D9" w14:textId="77777777" w:rsidR="003D50DA" w:rsidRDefault="003D50DA" w:rsidP="003D50DA">
            <w:pPr>
              <w:pStyle w:val="ListParagraph"/>
              <w:numPr>
                <w:ilvl w:val="0"/>
                <w:numId w:val="2"/>
              </w:numPr>
            </w:pPr>
            <w:r>
              <w:t>Domain and protocol abuse</w:t>
            </w:r>
          </w:p>
        </w:tc>
        <w:tc>
          <w:tcPr>
            <w:tcW w:w="4675" w:type="dxa"/>
          </w:tcPr>
          <w:p w14:paraId="1FEA14FB" w14:textId="77777777" w:rsidR="003D50DA" w:rsidRDefault="003D50DA" w:rsidP="003D50DA">
            <w:pPr>
              <w:pStyle w:val="ListParagraph"/>
              <w:numPr>
                <w:ilvl w:val="0"/>
                <w:numId w:val="2"/>
              </w:numPr>
            </w:pPr>
            <w:r>
              <w:t>Domain dominance</w:t>
            </w:r>
          </w:p>
        </w:tc>
      </w:tr>
    </w:tbl>
    <w:p w14:paraId="4424F7AA" w14:textId="77777777" w:rsidR="003D50DA" w:rsidRDefault="003D50DA" w:rsidP="003D50DA">
      <w:r>
        <w:br/>
        <w:t>The purpose of Chapter 1 is not to provide specific attack procedures. The purpose is to establish the attacker’s logic: adversaries target identity because identity is how the enterprise decides who is trusted.</w:t>
      </w:r>
    </w:p>
    <w:p w14:paraId="593E0CCC" w14:textId="77777777" w:rsidR="003D50DA" w:rsidRPr="00895654" w:rsidRDefault="003D50DA" w:rsidP="003D50DA">
      <w:pPr>
        <w:pStyle w:val="ListParagraph"/>
        <w:numPr>
          <w:ilvl w:val="0"/>
          <w:numId w:val="3"/>
        </w:numPr>
        <w:rPr>
          <w:b/>
          <w:bCs/>
          <w:color w:val="FF0066"/>
        </w:rPr>
      </w:pPr>
      <w:r w:rsidRPr="00895654">
        <w:rPr>
          <w:b/>
          <w:bCs/>
          <w:color w:val="FF0066"/>
        </w:rPr>
        <w:lastRenderedPageBreak/>
        <w:t>Defensive Concepts Covered</w:t>
      </w:r>
    </w:p>
    <w:p w14:paraId="3C7DD85C" w14:textId="77777777" w:rsidR="003D50DA" w:rsidRDefault="003D50DA" w:rsidP="003D50DA">
      <w:pPr>
        <w:pStyle w:val="ListParagraph"/>
      </w:pPr>
      <w:r>
        <w:t>This chapter introduces identity defense as a strategic discipline.</w:t>
      </w:r>
    </w:p>
    <w:p w14:paraId="42E20AA1" w14:textId="77777777" w:rsidR="003D50DA" w:rsidRDefault="003D50DA" w:rsidP="003D50DA">
      <w:pPr>
        <w:pStyle w:val="ListParagraph"/>
      </w:pPr>
    </w:p>
    <w:p w14:paraId="74BE87B8" w14:textId="77777777" w:rsidR="003D50DA" w:rsidRDefault="003D50DA" w:rsidP="003D50DA">
      <w:pPr>
        <w:pStyle w:val="ListParagraph"/>
      </w:pPr>
      <w:r>
        <w:t>Defensive concepts introduced include:</w:t>
      </w:r>
    </w:p>
    <w:p w14:paraId="4C6997C0" w14:textId="77777777" w:rsidR="003D50DA" w:rsidRPr="00936BC4" w:rsidRDefault="003D50DA" w:rsidP="003D50DA">
      <w:pPr>
        <w:pStyle w:val="ListParagraph"/>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6"/>
        <w:gridCol w:w="4304"/>
      </w:tblGrid>
      <w:tr w:rsidR="003D50DA" w14:paraId="04D6CAB2" w14:textId="77777777" w:rsidTr="009966D1">
        <w:tc>
          <w:tcPr>
            <w:tcW w:w="4326" w:type="dxa"/>
          </w:tcPr>
          <w:p w14:paraId="09EF8EF9" w14:textId="77777777" w:rsidR="003D50DA" w:rsidRDefault="003D50DA" w:rsidP="003D50DA">
            <w:pPr>
              <w:pStyle w:val="ListParagraph"/>
              <w:numPr>
                <w:ilvl w:val="0"/>
                <w:numId w:val="2"/>
              </w:numPr>
            </w:pPr>
            <w:r>
              <w:t>Identity governance</w:t>
            </w:r>
          </w:p>
        </w:tc>
        <w:tc>
          <w:tcPr>
            <w:tcW w:w="4304" w:type="dxa"/>
          </w:tcPr>
          <w:p w14:paraId="464CA15A" w14:textId="77777777" w:rsidR="003D50DA" w:rsidRDefault="003D50DA" w:rsidP="003D50DA">
            <w:pPr>
              <w:pStyle w:val="ListParagraph"/>
              <w:numPr>
                <w:ilvl w:val="0"/>
                <w:numId w:val="2"/>
              </w:numPr>
            </w:pPr>
            <w:r>
              <w:t>Credential governance</w:t>
            </w:r>
          </w:p>
        </w:tc>
      </w:tr>
      <w:tr w:rsidR="003D50DA" w14:paraId="04606D5A" w14:textId="77777777" w:rsidTr="009966D1">
        <w:tc>
          <w:tcPr>
            <w:tcW w:w="4326" w:type="dxa"/>
          </w:tcPr>
          <w:p w14:paraId="3F2ACFB4" w14:textId="77777777" w:rsidR="003D50DA" w:rsidRDefault="003D50DA" w:rsidP="003D50DA">
            <w:pPr>
              <w:pStyle w:val="ListParagraph"/>
              <w:numPr>
                <w:ilvl w:val="0"/>
                <w:numId w:val="2"/>
              </w:numPr>
            </w:pPr>
            <w:r>
              <w:t>Access governance</w:t>
            </w:r>
          </w:p>
        </w:tc>
        <w:tc>
          <w:tcPr>
            <w:tcW w:w="4304" w:type="dxa"/>
          </w:tcPr>
          <w:p w14:paraId="686EF957" w14:textId="77777777" w:rsidR="003D50DA" w:rsidRDefault="003D50DA" w:rsidP="003D50DA">
            <w:pPr>
              <w:pStyle w:val="ListParagraph"/>
              <w:numPr>
                <w:ilvl w:val="0"/>
                <w:numId w:val="2"/>
              </w:numPr>
            </w:pPr>
            <w:r>
              <w:t>Principle of Least Privilege</w:t>
            </w:r>
          </w:p>
        </w:tc>
      </w:tr>
      <w:tr w:rsidR="003D50DA" w14:paraId="07496E68" w14:textId="77777777" w:rsidTr="009966D1">
        <w:tc>
          <w:tcPr>
            <w:tcW w:w="4326" w:type="dxa"/>
          </w:tcPr>
          <w:p w14:paraId="024FDB02" w14:textId="77777777" w:rsidR="003D50DA" w:rsidRDefault="003D50DA" w:rsidP="003D50DA">
            <w:pPr>
              <w:pStyle w:val="ListParagraph"/>
              <w:numPr>
                <w:ilvl w:val="0"/>
                <w:numId w:val="2"/>
              </w:numPr>
            </w:pPr>
            <w:r>
              <w:t>Privileged access control</w:t>
            </w:r>
          </w:p>
        </w:tc>
        <w:tc>
          <w:tcPr>
            <w:tcW w:w="4304" w:type="dxa"/>
          </w:tcPr>
          <w:p w14:paraId="4C918FE0" w14:textId="77777777" w:rsidR="003D50DA" w:rsidRDefault="003D50DA" w:rsidP="003D50DA">
            <w:pPr>
              <w:pStyle w:val="ListParagraph"/>
              <w:numPr>
                <w:ilvl w:val="0"/>
                <w:numId w:val="2"/>
              </w:numPr>
            </w:pPr>
            <w:r>
              <w:t>Identity lifecycle management</w:t>
            </w:r>
          </w:p>
        </w:tc>
      </w:tr>
      <w:tr w:rsidR="003D50DA" w14:paraId="0E60B2E9" w14:textId="77777777" w:rsidTr="009966D1">
        <w:tc>
          <w:tcPr>
            <w:tcW w:w="4326" w:type="dxa"/>
          </w:tcPr>
          <w:p w14:paraId="271D30B9" w14:textId="77777777" w:rsidR="003D50DA" w:rsidRDefault="003D50DA" w:rsidP="003D50DA">
            <w:pPr>
              <w:pStyle w:val="ListParagraph"/>
              <w:numPr>
                <w:ilvl w:val="0"/>
                <w:numId w:val="2"/>
              </w:numPr>
            </w:pPr>
            <w:r>
              <w:t>Authentication assurance</w:t>
            </w:r>
          </w:p>
        </w:tc>
        <w:tc>
          <w:tcPr>
            <w:tcW w:w="4304" w:type="dxa"/>
          </w:tcPr>
          <w:p w14:paraId="25E2F1BD" w14:textId="77777777" w:rsidR="003D50DA" w:rsidRDefault="003D50DA" w:rsidP="003D50DA">
            <w:pPr>
              <w:pStyle w:val="ListParagraph"/>
              <w:numPr>
                <w:ilvl w:val="0"/>
                <w:numId w:val="2"/>
              </w:numPr>
            </w:pPr>
            <w:r>
              <w:t>Authorization review</w:t>
            </w:r>
          </w:p>
        </w:tc>
      </w:tr>
      <w:tr w:rsidR="003D50DA" w14:paraId="71414941" w14:textId="77777777" w:rsidTr="009966D1">
        <w:tc>
          <w:tcPr>
            <w:tcW w:w="4326" w:type="dxa"/>
          </w:tcPr>
          <w:p w14:paraId="2EBC408E" w14:textId="77777777" w:rsidR="003D50DA" w:rsidRDefault="003D50DA" w:rsidP="003D50DA">
            <w:pPr>
              <w:pStyle w:val="ListParagraph"/>
              <w:numPr>
                <w:ilvl w:val="0"/>
                <w:numId w:val="2"/>
              </w:numPr>
            </w:pPr>
            <w:r>
              <w:t>Directory hardening</w:t>
            </w:r>
          </w:p>
        </w:tc>
        <w:tc>
          <w:tcPr>
            <w:tcW w:w="4304" w:type="dxa"/>
          </w:tcPr>
          <w:p w14:paraId="07054C00" w14:textId="77777777" w:rsidR="003D50DA" w:rsidRDefault="003D50DA" w:rsidP="003D50DA">
            <w:pPr>
              <w:pStyle w:val="ListParagraph"/>
              <w:numPr>
                <w:ilvl w:val="0"/>
                <w:numId w:val="2"/>
              </w:numPr>
            </w:pPr>
            <w:r>
              <w:t>Zero Trust identity principles</w:t>
            </w:r>
          </w:p>
        </w:tc>
      </w:tr>
      <w:tr w:rsidR="003D50DA" w14:paraId="3A5DF81A" w14:textId="77777777" w:rsidTr="009966D1">
        <w:tc>
          <w:tcPr>
            <w:tcW w:w="4326" w:type="dxa"/>
          </w:tcPr>
          <w:p w14:paraId="70A437B9" w14:textId="77777777" w:rsidR="003D50DA" w:rsidRDefault="003D50DA" w:rsidP="003D50DA">
            <w:pPr>
              <w:pStyle w:val="ListParagraph"/>
              <w:numPr>
                <w:ilvl w:val="0"/>
                <w:numId w:val="2"/>
              </w:numPr>
            </w:pPr>
            <w:r>
              <w:t>Mission assurance</w:t>
            </w:r>
          </w:p>
        </w:tc>
        <w:tc>
          <w:tcPr>
            <w:tcW w:w="4304" w:type="dxa"/>
          </w:tcPr>
          <w:p w14:paraId="66FAB0D0" w14:textId="77777777" w:rsidR="003D50DA" w:rsidRDefault="003D50DA" w:rsidP="003D50DA">
            <w:pPr>
              <w:pStyle w:val="ListParagraph"/>
              <w:numPr>
                <w:ilvl w:val="0"/>
                <w:numId w:val="2"/>
              </w:numPr>
            </w:pPr>
            <w:r>
              <w:t>Detection readiness</w:t>
            </w:r>
          </w:p>
        </w:tc>
      </w:tr>
      <w:tr w:rsidR="003D50DA" w14:paraId="705BC5E9" w14:textId="77777777" w:rsidTr="009966D1">
        <w:tc>
          <w:tcPr>
            <w:tcW w:w="4326" w:type="dxa"/>
          </w:tcPr>
          <w:p w14:paraId="4203BD6F" w14:textId="77777777" w:rsidR="003D50DA" w:rsidRDefault="003D50DA" w:rsidP="003D50DA">
            <w:pPr>
              <w:pStyle w:val="ListParagraph"/>
              <w:numPr>
                <w:ilvl w:val="0"/>
                <w:numId w:val="2"/>
              </w:numPr>
            </w:pPr>
            <w:r>
              <w:t>Hardening countermeasures</w:t>
            </w:r>
          </w:p>
        </w:tc>
        <w:tc>
          <w:tcPr>
            <w:tcW w:w="4304" w:type="dxa"/>
          </w:tcPr>
          <w:p w14:paraId="248729D0" w14:textId="77777777" w:rsidR="003D50DA" w:rsidRDefault="003D50DA" w:rsidP="003D50DA">
            <w:pPr>
              <w:pStyle w:val="ListParagraph"/>
              <w:numPr>
                <w:ilvl w:val="0"/>
                <w:numId w:val="2"/>
              </w:numPr>
            </w:pPr>
            <w:r>
              <w:t>Recovery awareness</w:t>
            </w:r>
          </w:p>
        </w:tc>
      </w:tr>
    </w:tbl>
    <w:p w14:paraId="0BC46213" w14:textId="77777777" w:rsidR="003D50DA" w:rsidRDefault="003D50DA" w:rsidP="003D50DA">
      <w:pPr>
        <w:pStyle w:val="ListParagraph"/>
      </w:pPr>
      <w:r>
        <w:br/>
        <w:t>This chapter also establishes that defenders must understand both the intended architecture and the operational environment. Security does not come from diagrams alone. It comes from validated identity control.</w:t>
      </w:r>
    </w:p>
    <w:p w14:paraId="07F33212" w14:textId="77777777" w:rsidR="003D50DA" w:rsidRDefault="003D50DA" w:rsidP="003D50DA">
      <w:pPr>
        <w:pStyle w:val="ListParagraph"/>
      </w:pPr>
    </w:p>
    <w:p w14:paraId="17D494BD" w14:textId="77777777" w:rsidR="003D50DA" w:rsidRPr="00895654" w:rsidRDefault="003D50DA" w:rsidP="003D50DA">
      <w:pPr>
        <w:pStyle w:val="ListParagraph"/>
        <w:numPr>
          <w:ilvl w:val="0"/>
          <w:numId w:val="3"/>
        </w:numPr>
        <w:rPr>
          <w:b/>
          <w:bCs/>
          <w:color w:val="FF0066"/>
        </w:rPr>
      </w:pPr>
      <w:r w:rsidRPr="00895654">
        <w:rPr>
          <w:b/>
          <w:bCs/>
          <w:color w:val="FF0066"/>
        </w:rPr>
        <w:t>Offensive Tools Discussed</w:t>
      </w:r>
    </w:p>
    <w:p w14:paraId="515AD2FA" w14:textId="77777777" w:rsidR="003D50DA" w:rsidRDefault="003D50DA" w:rsidP="003D50DA">
      <w:pPr>
        <w:pStyle w:val="ListParagraph"/>
      </w:pPr>
      <w:r>
        <w:t>No offensive tools are taught in this chapter.</w:t>
      </w:r>
    </w:p>
    <w:p w14:paraId="245CA321" w14:textId="77777777" w:rsidR="003D50DA" w:rsidRDefault="003D50DA" w:rsidP="003D50DA">
      <w:pPr>
        <w:pStyle w:val="ListParagraph"/>
      </w:pPr>
    </w:p>
    <w:p w14:paraId="10EAE875" w14:textId="77777777" w:rsidR="003D50DA" w:rsidRDefault="003D50DA" w:rsidP="003D50DA">
      <w:pPr>
        <w:pStyle w:val="ListParagraph"/>
      </w:pPr>
      <w:r>
        <w:t>Later chapters may discuss tools such as BloodHound, PowerView, Impacket, Certipy, Rubeus, Mimikatz, CrackMapExec / NetExe, Kerbrute, Responder, and other tools in controlled, authorized, educational, and defensive contexts. Chapter 1 only introduces why such tools exist and why defenders must understand them when used for malicious purposes and with intent.</w:t>
      </w:r>
    </w:p>
    <w:p w14:paraId="1EE47E36" w14:textId="77777777" w:rsidR="003D50DA" w:rsidRDefault="003D50DA" w:rsidP="003D50DA">
      <w:pPr>
        <w:pStyle w:val="ListParagraph"/>
      </w:pPr>
    </w:p>
    <w:p w14:paraId="3ECAAFD0" w14:textId="77777777" w:rsidR="003D50DA" w:rsidRPr="00895654" w:rsidRDefault="003D50DA" w:rsidP="003D50DA">
      <w:pPr>
        <w:pStyle w:val="ListParagraph"/>
        <w:numPr>
          <w:ilvl w:val="0"/>
          <w:numId w:val="3"/>
        </w:numPr>
        <w:rPr>
          <w:b/>
          <w:bCs/>
          <w:color w:val="FF0066"/>
        </w:rPr>
      </w:pPr>
      <w:r w:rsidRPr="00895654">
        <w:rPr>
          <w:b/>
          <w:bCs/>
          <w:color w:val="FF0066"/>
        </w:rPr>
        <w:t>Defensive Tools Discussed</w:t>
      </w:r>
    </w:p>
    <w:p w14:paraId="00C7A25F" w14:textId="77777777" w:rsidR="003D50DA" w:rsidRDefault="003D50DA" w:rsidP="003D50DA">
      <w:pPr>
        <w:pStyle w:val="ListParagraph"/>
      </w:pPr>
      <w:r>
        <w:t>This chapter introduces categories of defensive tooling rather than tool operation.</w:t>
      </w:r>
    </w:p>
    <w:p w14:paraId="05ACC7E5" w14:textId="77777777" w:rsidR="003D50DA" w:rsidRDefault="003D50DA" w:rsidP="003D50DA">
      <w:pPr>
        <w:pStyle w:val="ListParagraph"/>
      </w:pPr>
    </w:p>
    <w:p w14:paraId="507D4434" w14:textId="77777777" w:rsidR="003D50DA" w:rsidRDefault="003D50DA" w:rsidP="003D50DA">
      <w:pPr>
        <w:pStyle w:val="ListParagraph"/>
      </w:pPr>
      <w:r>
        <w:t>Relevant categories include (but are not limited to) directory management tools, identity governance tools, privileged access management tools, Security Information and Event Management (SIEM) tools, Endpoint Detection and Response (EDR) platforms, Microsoft Defender for Identity (MDI), Microsoft Entra ID security tools, Secure Technical Implementation Guides (STIGs) and Security Requirements Guides (SRGs), certificate management tools, vulnerability scanners, configuration assessment tools, identity exposure management platforms, and documentation repositories.</w:t>
      </w:r>
    </w:p>
    <w:p w14:paraId="70AE6413" w14:textId="77777777" w:rsidR="003D50DA" w:rsidRDefault="003D50DA" w:rsidP="003D50DA">
      <w:pPr>
        <w:pStyle w:val="ListParagraph"/>
      </w:pPr>
    </w:p>
    <w:p w14:paraId="6D421E0B" w14:textId="77777777" w:rsidR="003D50DA" w:rsidRDefault="003D50DA" w:rsidP="003D50DA">
      <w:pPr>
        <w:pStyle w:val="ListParagraph"/>
      </w:pPr>
      <w:r>
        <w:lastRenderedPageBreak/>
        <w:t>Tool details are deferred to later chapters.</w:t>
      </w:r>
    </w:p>
    <w:p w14:paraId="1C8770A1" w14:textId="77777777" w:rsidR="003D50DA" w:rsidRDefault="003D50DA" w:rsidP="003D50DA">
      <w:pPr>
        <w:pStyle w:val="ListParagraph"/>
      </w:pPr>
    </w:p>
    <w:p w14:paraId="12F881DE" w14:textId="77777777" w:rsidR="003D50DA" w:rsidRDefault="003D50DA" w:rsidP="003D50DA">
      <w:pPr>
        <w:pStyle w:val="ListParagraph"/>
        <w:numPr>
          <w:ilvl w:val="0"/>
          <w:numId w:val="3"/>
        </w:numPr>
        <w:rPr>
          <w:b/>
          <w:bCs/>
          <w:color w:val="FF0066"/>
        </w:rPr>
      </w:pPr>
      <w:r w:rsidRPr="00895654">
        <w:rPr>
          <w:b/>
          <w:bCs/>
          <w:color w:val="FF0066"/>
        </w:rPr>
        <w:t>Primary FICAM Components Covered</w:t>
      </w:r>
    </w:p>
    <w:p w14:paraId="629AF006" w14:textId="77777777" w:rsidR="003D50DA" w:rsidRPr="000E6D1E" w:rsidRDefault="003D50DA" w:rsidP="003D50DA">
      <w:pPr>
        <w:pStyle w:val="ListParagraph"/>
      </w:pPr>
      <w:r w:rsidRPr="000E6D1E">
        <w:t>This chapter introduces FICAM conceptually.</w:t>
      </w:r>
    </w:p>
    <w:p w14:paraId="6CF6EFDE" w14:textId="77777777" w:rsidR="003D50DA" w:rsidRPr="000E6D1E" w:rsidRDefault="003D50DA" w:rsidP="003D50DA">
      <w:pPr>
        <w:pStyle w:val="ListParagraph"/>
      </w:pPr>
    </w:p>
    <w:p w14:paraId="585D01BF" w14:textId="77777777" w:rsidR="003D50DA" w:rsidRPr="000E6D1E" w:rsidRDefault="003D50DA" w:rsidP="003D50DA">
      <w:pPr>
        <w:pStyle w:val="ListParagraph"/>
      </w:pPr>
      <w:r w:rsidRPr="000E6D1E">
        <w:t>Primary components introduced included identity management, credential management, access management, authentication assurance, authorization, lifecycle management, trust, mission assurance, and federal identity governance.</w:t>
      </w:r>
    </w:p>
    <w:p w14:paraId="0318DE06" w14:textId="77777777" w:rsidR="003D50DA" w:rsidRPr="000E6D1E" w:rsidRDefault="003D50DA" w:rsidP="003D50DA">
      <w:pPr>
        <w:pStyle w:val="ListParagraph"/>
      </w:pPr>
    </w:p>
    <w:p w14:paraId="6C0A334A" w14:textId="77777777" w:rsidR="003D50DA" w:rsidRPr="000E6D1E" w:rsidRDefault="003D50DA" w:rsidP="003D50DA">
      <w:pPr>
        <w:pStyle w:val="ListParagraph"/>
      </w:pPr>
      <w:r w:rsidRPr="000E6D1E">
        <w:t>Detailed FICAM analysis is deferred to Chapter 2.</w:t>
      </w:r>
    </w:p>
    <w:p w14:paraId="5E5E970B" w14:textId="77777777" w:rsidR="003D50DA" w:rsidRPr="000E6D1E" w:rsidRDefault="003D50DA" w:rsidP="003D50DA">
      <w:pPr>
        <w:pStyle w:val="ListParagraph"/>
      </w:pPr>
    </w:p>
    <w:p w14:paraId="6DD566D2" w14:textId="77777777" w:rsidR="003D50DA" w:rsidRPr="000E6D1E" w:rsidRDefault="003D50DA" w:rsidP="003D50DA">
      <w:pPr>
        <w:pStyle w:val="ListParagraph"/>
        <w:numPr>
          <w:ilvl w:val="0"/>
          <w:numId w:val="3"/>
        </w:numPr>
      </w:pPr>
      <w:r w:rsidRPr="000E6D1E">
        <w:t>MITRE ATT&amp;CK Framework Coverage</w:t>
      </w:r>
    </w:p>
    <w:p w14:paraId="2ED680B9" w14:textId="77777777" w:rsidR="003D50DA" w:rsidRPr="000E6D1E" w:rsidRDefault="003D50DA" w:rsidP="003D50DA">
      <w:pPr>
        <w:pStyle w:val="ListParagraph"/>
      </w:pPr>
      <w:r w:rsidRPr="000E6D1E">
        <w:t>This chapter introduces MITRE ATT&amp;CK as a way to understand adversary behavior. It does not map techniques in depth.</w:t>
      </w:r>
    </w:p>
    <w:p w14:paraId="76150B8D" w14:textId="77777777" w:rsidR="003D50DA" w:rsidRPr="000E6D1E" w:rsidRDefault="003D50DA" w:rsidP="003D50DA">
      <w:pPr>
        <w:pStyle w:val="ListParagraph"/>
      </w:pPr>
    </w:p>
    <w:p w14:paraId="206911F7" w14:textId="77777777" w:rsidR="003D50DA" w:rsidRPr="000E6D1E" w:rsidRDefault="003D50DA" w:rsidP="003D50DA">
      <w:pPr>
        <w:pStyle w:val="ListParagraph"/>
      </w:pPr>
      <w:r w:rsidRPr="000E6D1E">
        <w:t>Relevant ATT&amp;CK areas introduced conceptually include Reconnaissance, Discovery, Initial Access, Credential Access, Privilege Escalation, Lateral Movement, Persistence, Defense Evasion, Collection, and Impact</w:t>
      </w:r>
    </w:p>
    <w:p w14:paraId="79E30060" w14:textId="77777777" w:rsidR="003D50DA" w:rsidRPr="000E6D1E" w:rsidRDefault="003D50DA" w:rsidP="003D50DA">
      <w:pPr>
        <w:pStyle w:val="ListParagraph"/>
      </w:pPr>
    </w:p>
    <w:p w14:paraId="1492664D" w14:textId="77777777" w:rsidR="003D50DA" w:rsidRPr="000E6D1E" w:rsidRDefault="003D50DA" w:rsidP="003D50DA">
      <w:pPr>
        <w:pStyle w:val="ListParagraph"/>
      </w:pPr>
      <w:r w:rsidRPr="000E6D1E">
        <w:t>Later chapters map identity-specific behaviors to ATT&amp;CK in greater detail.</w:t>
      </w:r>
    </w:p>
    <w:p w14:paraId="4F6B6287" w14:textId="77777777" w:rsidR="003D50DA" w:rsidRPr="000E6D1E" w:rsidRDefault="003D50DA" w:rsidP="003D50DA">
      <w:pPr>
        <w:pStyle w:val="ListParagraph"/>
      </w:pPr>
    </w:p>
    <w:p w14:paraId="65AFA49D" w14:textId="77777777" w:rsidR="003D50DA" w:rsidRPr="000E6D1E" w:rsidRDefault="003D50DA" w:rsidP="003D50DA">
      <w:pPr>
        <w:pStyle w:val="ListParagraph"/>
        <w:rPr>
          <w:b/>
          <w:bCs/>
        </w:rPr>
      </w:pPr>
      <w:r w:rsidRPr="000E6D1E">
        <w:rPr>
          <w:b/>
          <w:bCs/>
        </w:rPr>
        <w:t>17. Chapter Summary</w:t>
      </w:r>
    </w:p>
    <w:p w14:paraId="1E4B177E" w14:textId="77777777" w:rsidR="003D50DA" w:rsidRPr="000E6D1E" w:rsidRDefault="003D50DA" w:rsidP="003D50DA">
      <w:pPr>
        <w:pStyle w:val="ListParagraph"/>
      </w:pPr>
      <w:r w:rsidRPr="000E6D1E">
        <w:t>Identity is the foundation of modern enterprise security. Every user login, administrator action, service account operation, certificate issuance, federation assertion, Kerberos ticket, OAuth token, group membership, and trust relationship contributes to the enterprise identity control plane.</w:t>
      </w:r>
    </w:p>
    <w:p w14:paraId="41D10B4C" w14:textId="77777777" w:rsidR="003D50DA" w:rsidRPr="000E6D1E" w:rsidRDefault="003D50DA" w:rsidP="003D50DA">
      <w:pPr>
        <w:pStyle w:val="ListParagraph"/>
      </w:pPr>
      <w:r w:rsidRPr="000E6D1E">
        <w:t xml:space="preserve">In federal and defense </w:t>
      </w:r>
      <w:proofErr w:type="gramStart"/>
      <w:r w:rsidRPr="000E6D1E">
        <w:t>environments, that</w:t>
      </w:r>
      <w:proofErr w:type="gramEnd"/>
      <w:r w:rsidRPr="000E6D1E">
        <w:t xml:space="preserve"> control plane is not merely technical infrastructure. It is mission infrastructure. It determines who can access mission systems, who can administer critical services, who can approve access, who can authenticate remotely, who can federate with mission partners, who can issue certificates, who can reset credentials, and who can restore trust after compromise.</w:t>
      </w:r>
    </w:p>
    <w:p w14:paraId="0BAB4A3D" w14:textId="77777777" w:rsidR="003D50DA" w:rsidRPr="000E6D1E" w:rsidRDefault="003D50DA" w:rsidP="003D50DA">
      <w:pPr>
        <w:pStyle w:val="ListParagraph"/>
      </w:pPr>
      <w:r w:rsidRPr="000E6D1E">
        <w:t>This chapter established the core premise of the book: identity is the battlefield. The attacker wants to become trusted. The defender must understand how trust is created, validated, abused, monitored, revoked, and restored.</w:t>
      </w:r>
    </w:p>
    <w:p w14:paraId="454BC1A7" w14:textId="77777777" w:rsidR="003D50DA" w:rsidRPr="000E6D1E" w:rsidRDefault="003D50DA" w:rsidP="003D50DA">
      <w:pPr>
        <w:pStyle w:val="ListParagraph"/>
      </w:pPr>
      <w:r w:rsidRPr="000E6D1E">
        <w:t xml:space="preserve">Active Directory remains central because it is deeply embedded in enterprise authentication, authorization, administration, policy, and trust. FICAM matters because federal identity security is not only a technical problem. It is also a governance, assurance, access, credentialing, and mission problem. Zero Trust </w:t>
      </w:r>
      <w:r w:rsidRPr="000E6D1E">
        <w:lastRenderedPageBreak/>
        <w:t>matters because implicit trust has failed. Identity Security Engineering matters because identity systems must be designed, assessed, hardened, detected, recovered, and modernized with discipline.</w:t>
      </w:r>
    </w:p>
    <w:p w14:paraId="0651060D" w14:textId="77777777" w:rsidR="003D50DA" w:rsidRPr="000E6D1E" w:rsidRDefault="003D50DA" w:rsidP="003D50DA">
      <w:pPr>
        <w:pStyle w:val="ListParagraph"/>
      </w:pPr>
      <w:r w:rsidRPr="000E6D1E">
        <w:t xml:space="preserve">The rest of the book </w:t>
      </w:r>
      <w:proofErr w:type="gramStart"/>
      <w:r w:rsidRPr="000E6D1E">
        <w:t>builds</w:t>
      </w:r>
      <w:proofErr w:type="gramEnd"/>
      <w:r w:rsidRPr="000E6D1E">
        <w:t xml:space="preserve"> from this foundation.</w:t>
      </w:r>
    </w:p>
    <w:p w14:paraId="6D61E727" w14:textId="77777777" w:rsidR="003D50DA" w:rsidRPr="000E6D1E" w:rsidRDefault="003D50DA" w:rsidP="003D50DA">
      <w:pPr>
        <w:pStyle w:val="ListParagraph"/>
      </w:pPr>
      <w:r w:rsidRPr="000E6D1E">
        <w:pict w14:anchorId="68F2B406">
          <v:rect id="_x0000_i1025" style="width:0;height:1.5pt" o:hralign="center" o:hrstd="t" o:hr="t" fillcolor="#a0a0a0" stroked="f"/>
        </w:pict>
      </w:r>
    </w:p>
    <w:p w14:paraId="5FEDB97A" w14:textId="77777777" w:rsidR="003D50DA" w:rsidRPr="000E6D1E" w:rsidRDefault="003D50DA" w:rsidP="003D50DA">
      <w:pPr>
        <w:pStyle w:val="ListParagraph"/>
        <w:rPr>
          <w:b/>
          <w:bCs/>
        </w:rPr>
      </w:pPr>
      <w:r w:rsidRPr="000E6D1E">
        <w:rPr>
          <w:b/>
          <w:bCs/>
        </w:rPr>
        <w:t>18. Lessons Learned &amp; Key Takeaways</w:t>
      </w:r>
    </w:p>
    <w:p w14:paraId="3DF17654" w14:textId="77777777" w:rsidR="003D50DA" w:rsidRPr="000E6D1E" w:rsidRDefault="003D50DA" w:rsidP="003D50DA">
      <w:pPr>
        <w:pStyle w:val="ListParagraph"/>
      </w:pPr>
      <w:r w:rsidRPr="000E6D1E">
        <w:t>Identity is now the primary security boundary in modern enterprise environments.</w:t>
      </w:r>
    </w:p>
    <w:p w14:paraId="73555BC4" w14:textId="77777777" w:rsidR="003D50DA" w:rsidRPr="000E6D1E" w:rsidRDefault="003D50DA" w:rsidP="003D50DA">
      <w:pPr>
        <w:pStyle w:val="ListParagraph"/>
      </w:pPr>
      <w:r w:rsidRPr="000E6D1E">
        <w:t>An attacker does not always need to break the perimeter if they can become trusted by the identity system.</w:t>
      </w:r>
    </w:p>
    <w:p w14:paraId="2CAE5395" w14:textId="77777777" w:rsidR="003D50DA" w:rsidRPr="000E6D1E" w:rsidRDefault="003D50DA" w:rsidP="003D50DA">
      <w:pPr>
        <w:pStyle w:val="ListParagraph"/>
      </w:pPr>
      <w:r w:rsidRPr="000E6D1E">
        <w:t>Active Directory remains a critical identity backbone in federal, defense, and hybrid enterprise environments.</w:t>
      </w:r>
    </w:p>
    <w:p w14:paraId="36C94BD4" w14:textId="77777777" w:rsidR="003D50DA" w:rsidRPr="000E6D1E" w:rsidRDefault="003D50DA" w:rsidP="003D50DA">
      <w:pPr>
        <w:pStyle w:val="ListParagraph"/>
      </w:pPr>
      <w:r w:rsidRPr="000E6D1E">
        <w:t>FICAM provides the federal governance lens for identity, credential, access, federation, and assurance.</w:t>
      </w:r>
    </w:p>
    <w:p w14:paraId="636ECF8B" w14:textId="77777777" w:rsidR="003D50DA" w:rsidRPr="000E6D1E" w:rsidRDefault="003D50DA" w:rsidP="003D50DA">
      <w:pPr>
        <w:pStyle w:val="ListParagraph"/>
      </w:pPr>
      <w:r w:rsidRPr="000E6D1E">
        <w:t>Zero Trust depends on strong identity governance, continuous verification, least privilege, and reliable telemetry.</w:t>
      </w:r>
    </w:p>
    <w:p w14:paraId="2D1CE4EF" w14:textId="77777777" w:rsidR="003D50DA" w:rsidRPr="000E6D1E" w:rsidRDefault="003D50DA" w:rsidP="003D50DA">
      <w:pPr>
        <w:pStyle w:val="ListParagraph"/>
      </w:pPr>
      <w:r w:rsidRPr="000E6D1E">
        <w:t>Credentials are not only passwords. Tickets, hashes, certificates, tokens, private keys, service account secrets, and cloud identity artifacts are also identity material.</w:t>
      </w:r>
    </w:p>
    <w:p w14:paraId="48876BB5" w14:textId="77777777" w:rsidR="003D50DA" w:rsidRPr="000E6D1E" w:rsidRDefault="003D50DA" w:rsidP="003D50DA">
      <w:pPr>
        <w:pStyle w:val="ListParagraph"/>
      </w:pPr>
      <w:r w:rsidRPr="000E6D1E">
        <w:t>Defenders must understand how attackers think because identity defense requires understanding how trust can be abused.</w:t>
      </w:r>
    </w:p>
    <w:p w14:paraId="0E3BD227" w14:textId="77777777" w:rsidR="003D50DA" w:rsidRPr="000E6D1E" w:rsidRDefault="003D50DA" w:rsidP="003D50DA">
      <w:pPr>
        <w:pStyle w:val="ListParagraph"/>
      </w:pPr>
      <w:r w:rsidRPr="000E6D1E">
        <w:t>Identity compromise can become mission compromise when authentication, authorization, federation, certificates, or privileged administration can no longer be trusted.</w:t>
      </w:r>
    </w:p>
    <w:p w14:paraId="27F9DC04" w14:textId="77777777" w:rsidR="003D50DA" w:rsidRPr="000E6D1E" w:rsidRDefault="003D50DA" w:rsidP="003D50DA">
      <w:pPr>
        <w:pStyle w:val="ListParagraph"/>
      </w:pPr>
      <w:r w:rsidRPr="000E6D1E">
        <w:t>The book’s central thesis is simple: identity is the battlefield.</w:t>
      </w:r>
    </w:p>
    <w:p w14:paraId="377A419F" w14:textId="77777777" w:rsidR="003D50DA" w:rsidRPr="000E6D1E" w:rsidRDefault="003D50DA" w:rsidP="003D50DA">
      <w:pPr>
        <w:pStyle w:val="ListParagraph"/>
      </w:pPr>
      <w:r w:rsidRPr="000E6D1E">
        <w:pict w14:anchorId="41F13A6C">
          <v:rect id="_x0000_i1026" style="width:0;height:1.5pt" o:hralign="center" o:hrstd="t" o:hr="t" fillcolor="#a0a0a0" stroked="f"/>
        </w:pict>
      </w:r>
    </w:p>
    <w:p w14:paraId="68344521" w14:textId="77777777" w:rsidR="003D50DA" w:rsidRPr="000E6D1E" w:rsidRDefault="003D50DA" w:rsidP="003D50DA">
      <w:pPr>
        <w:pStyle w:val="ListParagraph"/>
        <w:rPr>
          <w:b/>
          <w:bCs/>
        </w:rPr>
      </w:pPr>
      <w:r w:rsidRPr="000E6D1E">
        <w:rPr>
          <w:b/>
          <w:bCs/>
        </w:rPr>
        <w:t>19. Recommended Reading</w:t>
      </w:r>
    </w:p>
    <w:p w14:paraId="384CF10F" w14:textId="77777777" w:rsidR="003D50DA" w:rsidRPr="000E6D1E" w:rsidRDefault="003D50DA" w:rsidP="003D50DA">
      <w:pPr>
        <w:pStyle w:val="ListParagraph"/>
      </w:pPr>
      <w:r w:rsidRPr="000E6D1E">
        <w:t>NIST SP 800-63 Digital Identity Guidelines.</w:t>
      </w:r>
    </w:p>
    <w:p w14:paraId="7AC89FC4" w14:textId="77777777" w:rsidR="003D50DA" w:rsidRPr="000E6D1E" w:rsidRDefault="003D50DA" w:rsidP="003D50DA">
      <w:pPr>
        <w:pStyle w:val="ListParagraph"/>
      </w:pPr>
      <w:r w:rsidRPr="000E6D1E">
        <w:t>NIST SP 800-53 Security and Privacy Controls.</w:t>
      </w:r>
    </w:p>
    <w:p w14:paraId="7DA621CD" w14:textId="77777777" w:rsidR="003D50DA" w:rsidRPr="000E6D1E" w:rsidRDefault="003D50DA" w:rsidP="003D50DA">
      <w:pPr>
        <w:pStyle w:val="ListParagraph"/>
      </w:pPr>
      <w:r w:rsidRPr="000E6D1E">
        <w:t>NIST SP 800-37 Risk Management Framework.</w:t>
      </w:r>
    </w:p>
    <w:p w14:paraId="696BC28F" w14:textId="77777777" w:rsidR="003D50DA" w:rsidRPr="000E6D1E" w:rsidRDefault="003D50DA" w:rsidP="003D50DA">
      <w:pPr>
        <w:pStyle w:val="ListParagraph"/>
      </w:pPr>
      <w:r w:rsidRPr="000E6D1E">
        <w:t>NIST SP 800-207 Zero Trust Architecture.</w:t>
      </w:r>
    </w:p>
    <w:p w14:paraId="6613E959" w14:textId="77777777" w:rsidR="003D50DA" w:rsidRPr="000E6D1E" w:rsidRDefault="003D50DA" w:rsidP="003D50DA">
      <w:pPr>
        <w:pStyle w:val="ListParagraph"/>
      </w:pPr>
      <w:r w:rsidRPr="000E6D1E">
        <w:t>Federal ICAM / FICAM guidance.</w:t>
      </w:r>
    </w:p>
    <w:p w14:paraId="24EBEFC6" w14:textId="77777777" w:rsidR="003D50DA" w:rsidRPr="000E6D1E" w:rsidRDefault="003D50DA" w:rsidP="003D50DA">
      <w:pPr>
        <w:pStyle w:val="ListParagraph"/>
      </w:pPr>
      <w:r w:rsidRPr="000E6D1E">
        <w:t>FIPS 201.</w:t>
      </w:r>
    </w:p>
    <w:p w14:paraId="0A5A3CC0" w14:textId="77777777" w:rsidR="003D50DA" w:rsidRPr="000E6D1E" w:rsidRDefault="003D50DA" w:rsidP="003D50DA">
      <w:pPr>
        <w:pStyle w:val="ListParagraph"/>
      </w:pPr>
      <w:r w:rsidRPr="000E6D1E">
        <w:t>HSPD-12.</w:t>
      </w:r>
    </w:p>
    <w:p w14:paraId="42D93F9B" w14:textId="77777777" w:rsidR="003D50DA" w:rsidRPr="000E6D1E" w:rsidRDefault="003D50DA" w:rsidP="003D50DA">
      <w:pPr>
        <w:pStyle w:val="ListParagraph"/>
      </w:pPr>
      <w:r w:rsidRPr="000E6D1E">
        <w:t>OMB Zero Trust Strategy.</w:t>
      </w:r>
    </w:p>
    <w:p w14:paraId="2369FD72" w14:textId="77777777" w:rsidR="003D50DA" w:rsidRPr="000E6D1E" w:rsidRDefault="003D50DA" w:rsidP="003D50DA">
      <w:pPr>
        <w:pStyle w:val="ListParagraph"/>
      </w:pPr>
      <w:r w:rsidRPr="000E6D1E">
        <w:t>CISA Zero Trust Maturity Model.</w:t>
      </w:r>
    </w:p>
    <w:p w14:paraId="342CB39D" w14:textId="77777777" w:rsidR="003D50DA" w:rsidRPr="000E6D1E" w:rsidRDefault="003D50DA" w:rsidP="003D50DA">
      <w:pPr>
        <w:pStyle w:val="ListParagraph"/>
      </w:pPr>
      <w:r w:rsidRPr="000E6D1E">
        <w:t>DoD Zero Trust Reference Architecture.</w:t>
      </w:r>
    </w:p>
    <w:p w14:paraId="31F36687" w14:textId="77777777" w:rsidR="003D50DA" w:rsidRPr="000E6D1E" w:rsidRDefault="003D50DA" w:rsidP="003D50DA">
      <w:pPr>
        <w:pStyle w:val="ListParagraph"/>
      </w:pPr>
      <w:r w:rsidRPr="000E6D1E">
        <w:t>MITRE ATT&amp;CK Enterprise Matrix.</w:t>
      </w:r>
    </w:p>
    <w:p w14:paraId="61B1105F" w14:textId="77777777" w:rsidR="003D50DA" w:rsidRPr="000E6D1E" w:rsidRDefault="003D50DA" w:rsidP="003D50DA">
      <w:pPr>
        <w:pStyle w:val="ListParagraph"/>
      </w:pPr>
      <w:r w:rsidRPr="000E6D1E">
        <w:t>MITRE D3FEND.</w:t>
      </w:r>
    </w:p>
    <w:p w14:paraId="60CE09B7" w14:textId="77777777" w:rsidR="003D50DA" w:rsidRPr="000E6D1E" w:rsidRDefault="003D50DA" w:rsidP="003D50DA">
      <w:pPr>
        <w:pStyle w:val="ListParagraph"/>
      </w:pPr>
      <w:r w:rsidRPr="000E6D1E">
        <w:lastRenderedPageBreak/>
        <w:t>DISA STIGs and SRGs relevant to Windows Server, Active Directory, PKI, and identity infrastructure.</w:t>
      </w:r>
    </w:p>
    <w:p w14:paraId="5B579F53" w14:textId="77777777" w:rsidR="003D50DA" w:rsidRPr="000E6D1E" w:rsidRDefault="003D50DA" w:rsidP="003D50DA">
      <w:pPr>
        <w:pStyle w:val="ListParagraph"/>
      </w:pPr>
      <w:r w:rsidRPr="000E6D1E">
        <w:t>Microsoft documentation on Active Directory Domain Services, Kerberos, Group Policy, AD CS, AD FS, Microsoft Entra ID, and hybrid identity.</w:t>
      </w:r>
    </w:p>
    <w:p w14:paraId="4B8817EE" w14:textId="77777777" w:rsidR="003D50DA" w:rsidRPr="000E6D1E" w:rsidRDefault="003D50DA" w:rsidP="003D50DA">
      <w:pPr>
        <w:pStyle w:val="ListParagraph"/>
      </w:pPr>
      <w:r w:rsidRPr="000E6D1E">
        <w:pict w14:anchorId="5E5B1ED1">
          <v:rect id="_x0000_i1027" style="width:0;height:1.5pt" o:hralign="center" o:hrstd="t" o:hr="t" fillcolor="#a0a0a0" stroked="f"/>
        </w:pict>
      </w:r>
    </w:p>
    <w:p w14:paraId="6AA51C2D" w14:textId="769677B5" w:rsidR="00B56D90" w:rsidRPr="00B56D90" w:rsidRDefault="00B56D90" w:rsidP="00B56D90">
      <w:pPr>
        <w:pStyle w:val="Heading2"/>
        <w:rPr>
          <w:b/>
          <w:bCs/>
          <w:color w:val="FF0066"/>
        </w:rPr>
      </w:pPr>
      <w:r w:rsidRPr="00B56D90">
        <w:rPr>
          <w:b/>
          <w:bCs/>
        </w:rPr>
        <w:t>1.1 Why Identity Became the Battlefield</w:t>
      </w:r>
    </w:p>
    <w:p w14:paraId="5B36E7A0"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Historically, enterprise security architecture was fundamentally predicated on the concept of a hardened network perimeter. For generations, security professionals designed defensive strategies around the assumption that firewalls and edge routers constituted the definitive boundary, treating end-users as a supplementary line of defense. Within this paradigm, the internal corporate network operated as an implicitly trusted enclave. Infrastructure components – including servers, databases, and application layers – were prioritized as the primary assets requiring protection, whereas identity management was largely relegated to a secondary, administrative utility. Traditional tasks such as account provisioning, password lifecycle management, and access group assignments were viewed as routine operational background processes. Today, this infrastructure-centric model has collapsed, transforming what was once a backend administrative function into the foundational perimeter of modern enterprise identity security.</w:t>
      </w:r>
    </w:p>
    <w:p w14:paraId="7295ACD8"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This legacy, network-centric framework is no longer operationally viable. Modern enterprise identity security architecture is fundamentally identity-centric, as contemporary access decisions are entirely dependent on identity contextualization. Systems must continuously validate the requesting entity’s identity, the validity of the presented credentials, the security posture of the originating device, and the entity’s associated group memberships and assigned roles. Furthermore, cryptographic security hinges on verifying the specific tokens issued, the certificates presented, the underlying trust relationships validating the assertion, and the precise privileges granted post-authentication.</w:t>
      </w:r>
    </w:p>
    <w:p w14:paraId="7E27B77E"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In federal, defense, intelligence, and mission-partner environments, these architectural variables dictate real-world operational security. They govern whether personnel can access classified mission environments, whether administrators can manipulate critical infrastructure, and whether contractors can reach operational platforms. These mechanisms also dictate how coalition partners federate across distinct security domains, how privileged users modify security controls, and – critically – whether an adversary can establish trusted status within the enterprise ecosystem.</w:t>
      </w:r>
    </w:p>
    <w:p w14:paraId="28216156" w14:textId="77777777" w:rsidR="009F456A" w:rsidRDefault="00B56D90" w:rsidP="00B56D90">
      <w:pPr>
        <w:rPr>
          <w:rFonts w:ascii="Times New Roman" w:hAnsi="Times New Roman" w:cs="Times New Roman"/>
        </w:rPr>
      </w:pPr>
      <w:r w:rsidRPr="00B56D90">
        <w:rPr>
          <w:rFonts w:ascii="Times New Roman" w:hAnsi="Times New Roman" w:cs="Times New Roman"/>
        </w:rPr>
        <w:t xml:space="preserve">Threat actors have adapted to this paradigm. Sophisticated adversaries no longer prioritize exploiting the traditional network perimeter when flaws in the identity infrastructure provide direct access. Legitimate pathways are routinely compromised using valid but unauthorized accounts, stolen credentials, forged or abused Kerberos tickets, excessive permission sets, weak </w:t>
      </w:r>
      <w:r w:rsidRPr="00B56D90">
        <w:rPr>
          <w:rFonts w:ascii="Times New Roman" w:hAnsi="Times New Roman" w:cs="Times New Roman"/>
        </w:rPr>
        <w:lastRenderedPageBreak/>
        <w:t>federation configurations, or overprivileged service accounts. To the environment’s identity infrastructure, these malicious access vectors appear entirely legitimate.</w:t>
      </w:r>
    </w:p>
    <w:p w14:paraId="018CCE74" w14:textId="6281C9A3" w:rsidR="00B56D90" w:rsidRDefault="00B56D90" w:rsidP="009F456A">
      <w:pPr>
        <w:spacing w:after="0"/>
        <w:contextualSpacing/>
        <w:rPr>
          <w:rFonts w:ascii="Times New Roman" w:hAnsi="Times New Roman" w:cs="Times New Roman"/>
        </w:rPr>
      </w:pPr>
      <w:r w:rsidRPr="00B56D90">
        <w:rPr>
          <w:rFonts w:ascii="Times New Roman" w:hAnsi="Times New Roman" w:cs="Times New Roman"/>
        </w:rPr>
        <w:t>Consequently, identity has emerged as the primary operational battlefield. This concept represents a shift in defensive strategy rather than a mere conceptual abstraction. The conflict between threat actors and security defenders increasingly centers on the mechanics of authentication, authorization protocols, credential management, privileged access, cryptographic certificates, token lifecycles, directory services, and cloud-native service roles. Accordingly, the modern defender’s mandate extends far beyond traditional malware mitigation and system patching; it requires a granular understanding of how trust is architected, how it is exploited, how it is monitored, and how it is revoked and restored following a systemic compromise.</w:t>
      </w:r>
    </w:p>
    <w:p w14:paraId="28442874" w14:textId="77777777" w:rsidR="009F456A" w:rsidRPr="009F456A" w:rsidRDefault="009F456A" w:rsidP="009F456A">
      <w:pPr>
        <w:pStyle w:val="ListParagraph"/>
        <w:ind w:left="375"/>
        <w:rPr>
          <w:rFonts w:ascii="Times New Roman" w:hAnsi="Times New Roman" w:cs="Times New Roman"/>
        </w:rPr>
      </w:pPr>
    </w:p>
    <w:tbl>
      <w:tblPr>
        <w:tblStyle w:val="TableGrid"/>
        <w:tblW w:w="0" w:type="auto"/>
        <w:tblInd w:w="375" w:type="dxa"/>
        <w:tblLook w:val="04A0" w:firstRow="1" w:lastRow="0" w:firstColumn="1" w:lastColumn="0" w:noHBand="0" w:noVBand="1"/>
      </w:tblPr>
      <w:tblGrid>
        <w:gridCol w:w="3850"/>
        <w:gridCol w:w="5125"/>
      </w:tblGrid>
      <w:tr w:rsidR="009F456A" w:rsidRPr="009F456A" w14:paraId="6C53ABC5" w14:textId="77777777" w:rsidTr="009F456A">
        <w:tc>
          <w:tcPr>
            <w:tcW w:w="3850" w:type="dxa"/>
            <w:shd w:val="clear" w:color="auto" w:fill="000000" w:themeFill="text1"/>
          </w:tcPr>
          <w:p w14:paraId="59D0A076" w14:textId="00BBE525" w:rsidR="009F456A" w:rsidRPr="009F456A" w:rsidRDefault="009F456A" w:rsidP="009F456A">
            <w:pPr>
              <w:pStyle w:val="ListParagraph"/>
              <w:spacing w:after="160" w:line="278" w:lineRule="auto"/>
              <w:ind w:left="375"/>
              <w:jc w:val="both"/>
              <w:rPr>
                <w:rFonts w:ascii="Times New Roman" w:hAnsi="Times New Roman" w:cs="Times New Roman"/>
                <w:b/>
                <w:bCs/>
                <w:sz w:val="28"/>
                <w:szCs w:val="28"/>
              </w:rPr>
            </w:pPr>
            <w:r w:rsidRPr="009F456A">
              <w:rPr>
                <w:rFonts w:ascii="Times New Roman" w:hAnsi="Times New Roman" w:cs="Times New Roman"/>
                <w:b/>
                <w:bCs/>
                <w:color w:val="FFFFFF" w:themeColor="background1"/>
                <w:sz w:val="32"/>
                <w:szCs w:val="32"/>
                <w:shd w:val="clear" w:color="auto" w:fill="000000" w:themeFill="text1"/>
              </w:rPr>
              <w:t>Analytica</w:t>
            </w:r>
            <w:r>
              <w:rPr>
                <w:rFonts w:ascii="Times New Roman" w:hAnsi="Times New Roman" w:cs="Times New Roman"/>
                <w:b/>
                <w:bCs/>
                <w:color w:val="FFFFFF" w:themeColor="background1"/>
                <w:sz w:val="32"/>
                <w:szCs w:val="32"/>
                <w:shd w:val="clear" w:color="auto" w:fill="000000" w:themeFill="text1"/>
              </w:rPr>
              <w:t xml:space="preserve">l Side </w:t>
            </w:r>
            <w:r w:rsidRPr="009F456A">
              <w:rPr>
                <w:rFonts w:ascii="Times New Roman" w:hAnsi="Times New Roman" w:cs="Times New Roman"/>
                <w:b/>
                <w:bCs/>
                <w:color w:val="FFFFFF" w:themeColor="background1"/>
                <w:sz w:val="28"/>
                <w:szCs w:val="28"/>
              </w:rPr>
              <w:t xml:space="preserve"> </w:t>
            </w:r>
            <w:r w:rsidRPr="009F456A">
              <w:rPr>
                <w:rFonts w:ascii="Times New Roman" w:hAnsi="Times New Roman" w:cs="Times New Roman"/>
                <w:b/>
                <w:bCs/>
                <w:color w:val="FFFFFF" w:themeColor="background1"/>
                <w:sz w:val="32"/>
                <w:szCs w:val="32"/>
              </w:rPr>
              <w:t>Note</w:t>
            </w:r>
          </w:p>
        </w:tc>
        <w:tc>
          <w:tcPr>
            <w:tcW w:w="5125" w:type="dxa"/>
            <w:tcBorders>
              <w:top w:val="nil"/>
              <w:right w:val="nil"/>
            </w:tcBorders>
          </w:tcPr>
          <w:p w14:paraId="33A8C328" w14:textId="77777777" w:rsidR="009F456A" w:rsidRPr="009F456A" w:rsidRDefault="009F456A" w:rsidP="009966D1">
            <w:pPr>
              <w:pStyle w:val="ListParagraph"/>
              <w:ind w:left="375"/>
              <w:rPr>
                <w:rFonts w:ascii="Times New Roman" w:hAnsi="Times New Roman" w:cs="Times New Roman"/>
                <w:b/>
                <w:bCs/>
                <w:sz w:val="28"/>
                <w:szCs w:val="28"/>
              </w:rPr>
            </w:pPr>
          </w:p>
        </w:tc>
      </w:tr>
      <w:tr w:rsidR="009F456A" w:rsidRPr="009F456A" w14:paraId="5DFA2653" w14:textId="77777777" w:rsidTr="009966D1">
        <w:tc>
          <w:tcPr>
            <w:tcW w:w="8975" w:type="dxa"/>
            <w:gridSpan w:val="2"/>
          </w:tcPr>
          <w:p w14:paraId="60F1A764" w14:textId="77777777" w:rsidR="009F456A" w:rsidRPr="009F456A" w:rsidRDefault="009F456A" w:rsidP="009966D1">
            <w:pPr>
              <w:pStyle w:val="ListParagraph"/>
              <w:ind w:left="375"/>
              <w:rPr>
                <w:rFonts w:ascii="Times New Roman" w:hAnsi="Times New Roman" w:cs="Times New Roman"/>
              </w:rPr>
            </w:pPr>
          </w:p>
          <w:p w14:paraId="31AF86DD" w14:textId="77777777" w:rsidR="009F456A" w:rsidRPr="009F456A" w:rsidRDefault="009F456A" w:rsidP="009F456A">
            <w:pPr>
              <w:rPr>
                <w:rFonts w:ascii="Times New Roman" w:hAnsi="Times New Roman" w:cs="Times New Roman"/>
                <w:i/>
                <w:iCs/>
              </w:rPr>
            </w:pPr>
            <w:r w:rsidRPr="009F456A">
              <w:rPr>
                <w:rFonts w:ascii="Times New Roman" w:hAnsi="Times New Roman" w:cs="Times New Roman"/>
                <w:i/>
                <w:iCs/>
              </w:rPr>
              <w:t>The shift from perimeter-centric to identity-centric security is not merely a technological evolution - it is a doctrinal one. In Department of Defense (DoD) and Intelligence Community (IC) environments, this mirrors the broader transition from network-centric warfare to information-centric operations. The defender who still conceptualizes security as "keeping bad actors outside the wire" is operating with a cognitive model that the adversary has already bypassed. The "wire" is now the identity decision itself, and that decision happens at every authentication event, every authorization check, and every trust assertion across the enterprise.</w:t>
            </w:r>
          </w:p>
          <w:p w14:paraId="35D59677" w14:textId="77777777" w:rsidR="009F456A" w:rsidRPr="009F456A" w:rsidRDefault="009F456A" w:rsidP="009966D1">
            <w:pPr>
              <w:pStyle w:val="ListParagraph"/>
              <w:ind w:left="375"/>
              <w:rPr>
                <w:rFonts w:ascii="Times New Roman" w:hAnsi="Times New Roman" w:cs="Times New Roman"/>
              </w:rPr>
            </w:pPr>
          </w:p>
        </w:tc>
      </w:tr>
    </w:tbl>
    <w:p w14:paraId="40FC4086" w14:textId="77777777" w:rsidR="009F456A" w:rsidRPr="00B56D90" w:rsidRDefault="009F456A" w:rsidP="009F456A">
      <w:pPr>
        <w:spacing w:after="0"/>
        <w:contextualSpacing/>
        <w:rPr>
          <w:rFonts w:ascii="Times New Roman" w:hAnsi="Times New Roman" w:cs="Times New Roman"/>
        </w:rPr>
      </w:pPr>
    </w:p>
    <w:p w14:paraId="46CEA0DC" w14:textId="7D2CC7F1" w:rsidR="00B56D90" w:rsidRPr="00B56D90" w:rsidRDefault="00B56D90" w:rsidP="00B56D90">
      <w:pPr>
        <w:pStyle w:val="Heading2"/>
        <w:rPr>
          <w:b/>
          <w:bCs/>
        </w:rPr>
      </w:pPr>
      <w:r w:rsidRPr="00B56D90">
        <w:rPr>
          <w:b/>
          <w:bCs/>
        </w:rPr>
        <w:t>1.2 The Paradigm Shift: From Network-Centric to Identity-Centric Perimeters</w:t>
      </w:r>
    </w:p>
    <w:p w14:paraId="4D403B41"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Traditional network security models operated under the assumption that internal proximity implied systemic trustworthiness. Once an entity – whether a user, device, or automated process – gained access to the internal Local Area Network (LAN), downstream security controls were often drastically relaxed. Internal network traffic was granted inherently higher trust thresholds than external requests. Administrative protocols remained exposed to overly broad network segments, service accounts maintained expansive access rights, and domain-joined assets inherited implicit trust. Legacy authentication protocols frequently remained active solely for operational convenience, while privileged security groups accumulated memberships over time absent rigorous lifecycle review cycles.</w:t>
      </w:r>
    </w:p>
    <w:p w14:paraId="634A725D"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This traditional model introduced a critical vulnerability: the assumption that a network boundary could effectively isolate and safeguard the identity infrastructure.</w:t>
      </w:r>
    </w:p>
    <w:p w14:paraId="6B91E1E9"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 xml:space="preserve">In modern exploit scenarios, the inverse is routinely true. Once an identity layer is compromised, the underlying network topology becomes operationally irrelevant to the defender. A </w:t>
      </w:r>
      <w:r w:rsidRPr="00B56D90">
        <w:rPr>
          <w:rFonts w:ascii="Times New Roman" w:hAnsi="Times New Roman" w:cs="Times New Roman"/>
        </w:rPr>
        <w:lastRenderedPageBreak/>
        <w:t>compromised Virtual Private Network (VPN) credential circumvents remote access restrictions. A stolen administrative account grants unfettered management privilege across infrastructure layers. A forged Kerberos ticket permits unauthorized access to isolated network services, and a compromised cryptographic certificate allows passwordless authentication. Concurrently, a stolen cloud-native bearer token can enable direct resource access from outside the traditional network perimeter. Weaknesses in federation trusts force the system to accept unauthorized assertions from external Identity Providers (IdPs), while compromised service principals permit direct programmatic access to cloud workloads entirely absent human intervention.</w:t>
      </w:r>
    </w:p>
    <w:p w14:paraId="1C6BAA73"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Contemporary enterprise architectures are too distributed to rely on perimeter-only defense strategies. Workforce structures require remote access architectures, cloud infrastructures host mission-critical datasets, and Software-as-a-Service (SaaS) platforms integrate directly with enterprise directories. External contractors authenticate via complex federated pathways, mobile endpoints interact with internal collaboration suites, and Application Programming Interfaces (APIs) exchange automated payloads across disparate trust boundaries. Simultaneously, network and domain service accounts execute persistent scheduled tasks and processes, automated pipelines handle routine administrative operations, and hybrid identity architectures interlink legacy on-premises Active Directory environments with cloud-native engines like Microsoft Entra ID.</w:t>
      </w:r>
    </w:p>
    <w:p w14:paraId="0A2474A9"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Within these highly distributed environments, the definitive security boundary shifts from the underlying network fabric to the discrete identity decision.</w:t>
      </w:r>
    </w:p>
    <w:p w14:paraId="633DCE88" w14:textId="6EAF9ECF" w:rsidR="00B56D90" w:rsidRPr="00B56D90" w:rsidRDefault="00B56D90" w:rsidP="00B56D90">
      <w:pPr>
        <w:rPr>
          <w:rFonts w:ascii="Times New Roman" w:hAnsi="Times New Roman" w:cs="Times New Roman"/>
        </w:rPr>
      </w:pPr>
      <w:r w:rsidRPr="00B56D90">
        <w:rPr>
          <w:rFonts w:ascii="Times New Roman" w:hAnsi="Times New Roman" w:cs="Times New Roman"/>
        </w:rPr>
        <w:t>The modern enterprise must dynamically evaluate identity trust thresholds at every transactional checkpoint. The architecture must continuously evaluate whether to mint a security token, honor a Kerberos ticket, or accept a presented certificate. It must explicitly verify whether group memberships justify specific resource access, whether an assigned role authorizes administrative actions, and whether a federated identity assertion complies with organizational trust policies. Ultimately, the system must validate the exact permissions granted to every user, service, hardware endpoint, automated workload, or application attempting to execute an action.</w:t>
      </w:r>
    </w:p>
    <w:p w14:paraId="12D310A2" w14:textId="2E9F2558" w:rsidR="009F456A" w:rsidRDefault="00B56D90" w:rsidP="009F456A">
      <w:r w:rsidRPr="00B56D90">
        <w:rPr>
          <w:rFonts w:ascii="Times New Roman" w:hAnsi="Times New Roman" w:cs="Times New Roman"/>
        </w:rPr>
        <w:t>Each discrete authentication and authorization decision constitutes the true boundary of the modern enterprise security perimeter.</w:t>
      </w:r>
    </w:p>
    <w:tbl>
      <w:tblPr>
        <w:tblStyle w:val="TableGrid"/>
        <w:tblW w:w="0" w:type="auto"/>
        <w:tblInd w:w="375" w:type="dxa"/>
        <w:tblLook w:val="04A0" w:firstRow="1" w:lastRow="0" w:firstColumn="1" w:lastColumn="0" w:noHBand="0" w:noVBand="1"/>
      </w:tblPr>
      <w:tblGrid>
        <w:gridCol w:w="3040"/>
        <w:gridCol w:w="5935"/>
      </w:tblGrid>
      <w:tr w:rsidR="009F456A" w:rsidRPr="009F456A" w14:paraId="127B6CC7" w14:textId="77777777" w:rsidTr="009966D1">
        <w:tc>
          <w:tcPr>
            <w:tcW w:w="3040" w:type="dxa"/>
            <w:shd w:val="clear" w:color="auto" w:fill="000000" w:themeFill="text1"/>
          </w:tcPr>
          <w:p w14:paraId="4631DAD0" w14:textId="77777777" w:rsidR="009F456A" w:rsidRPr="009F456A" w:rsidRDefault="009F456A" w:rsidP="009966D1">
            <w:pPr>
              <w:pStyle w:val="ListParagraph"/>
              <w:spacing w:after="160" w:line="278" w:lineRule="auto"/>
              <w:ind w:left="375"/>
              <w:rPr>
                <w:rFonts w:ascii="Times New Roman" w:hAnsi="Times New Roman" w:cs="Times New Roman"/>
                <w:b/>
                <w:bCs/>
                <w:sz w:val="28"/>
                <w:szCs w:val="28"/>
              </w:rPr>
            </w:pPr>
            <w:r w:rsidRPr="009F456A">
              <w:rPr>
                <w:rFonts w:ascii="Times New Roman" w:hAnsi="Times New Roman" w:cs="Times New Roman"/>
                <w:b/>
                <w:bCs/>
                <w:color w:val="FFFFFF" w:themeColor="background1"/>
                <w:sz w:val="32"/>
                <w:szCs w:val="32"/>
                <w:shd w:val="clear" w:color="auto" w:fill="000000" w:themeFill="text1"/>
              </w:rPr>
              <w:t>Analytical</w:t>
            </w:r>
            <w:r w:rsidRPr="009F456A">
              <w:rPr>
                <w:rFonts w:ascii="Times New Roman" w:hAnsi="Times New Roman" w:cs="Times New Roman"/>
                <w:b/>
                <w:bCs/>
                <w:color w:val="FFFFFF" w:themeColor="background1"/>
                <w:sz w:val="28"/>
                <w:szCs w:val="28"/>
              </w:rPr>
              <w:t xml:space="preserve"> </w:t>
            </w:r>
            <w:r w:rsidRPr="009F456A">
              <w:rPr>
                <w:rFonts w:ascii="Times New Roman" w:hAnsi="Times New Roman" w:cs="Times New Roman"/>
                <w:b/>
                <w:bCs/>
                <w:color w:val="FFFFFF" w:themeColor="background1"/>
                <w:sz w:val="32"/>
                <w:szCs w:val="32"/>
              </w:rPr>
              <w:t>Note</w:t>
            </w:r>
          </w:p>
        </w:tc>
        <w:tc>
          <w:tcPr>
            <w:tcW w:w="5935" w:type="dxa"/>
            <w:tcBorders>
              <w:top w:val="nil"/>
              <w:right w:val="nil"/>
            </w:tcBorders>
          </w:tcPr>
          <w:p w14:paraId="01A42DBD" w14:textId="77777777" w:rsidR="009F456A" w:rsidRPr="009F456A" w:rsidRDefault="009F456A" w:rsidP="009966D1">
            <w:pPr>
              <w:pStyle w:val="ListParagraph"/>
              <w:ind w:left="375"/>
              <w:rPr>
                <w:rFonts w:ascii="Times New Roman" w:hAnsi="Times New Roman" w:cs="Times New Roman"/>
                <w:b/>
                <w:bCs/>
                <w:sz w:val="28"/>
                <w:szCs w:val="28"/>
              </w:rPr>
            </w:pPr>
          </w:p>
        </w:tc>
      </w:tr>
      <w:tr w:rsidR="009F456A" w:rsidRPr="009F456A" w14:paraId="6DC5AAAE" w14:textId="77777777" w:rsidTr="009966D1">
        <w:tc>
          <w:tcPr>
            <w:tcW w:w="8975" w:type="dxa"/>
            <w:gridSpan w:val="2"/>
          </w:tcPr>
          <w:p w14:paraId="2408BBDA" w14:textId="77777777" w:rsidR="009F456A" w:rsidRPr="009F456A" w:rsidRDefault="009F456A" w:rsidP="009966D1">
            <w:pPr>
              <w:pStyle w:val="ListParagraph"/>
              <w:ind w:left="375"/>
              <w:rPr>
                <w:rFonts w:ascii="Times New Roman" w:hAnsi="Times New Roman" w:cs="Times New Roman"/>
              </w:rPr>
            </w:pPr>
          </w:p>
          <w:p w14:paraId="7E1B69F4" w14:textId="77777777" w:rsidR="009F456A" w:rsidRPr="009F456A" w:rsidRDefault="009F456A" w:rsidP="009966D1">
            <w:pPr>
              <w:pStyle w:val="ListParagraph"/>
              <w:spacing w:after="160" w:line="278" w:lineRule="auto"/>
              <w:ind w:left="375"/>
              <w:rPr>
                <w:rFonts w:ascii="Times New Roman" w:hAnsi="Times New Roman" w:cs="Times New Roman"/>
                <w:i/>
                <w:iCs/>
              </w:rPr>
            </w:pPr>
            <w:r w:rsidRPr="009F456A">
              <w:rPr>
                <w:rFonts w:ascii="Times New Roman" w:hAnsi="Times New Roman" w:cs="Times New Roman"/>
                <w:i/>
                <w:iCs/>
              </w:rPr>
              <w:t xml:space="preserve">The concept of the "identity boundary" deserves emphasis here because it reframes the defender's entire operational posture. In DoD Risk Management Framework (RMF) terms, this means that security controls must be evaluated not just at the network enclave level (AC-3, AC-17), but at every transactional identity point. The NIST SP 800-207 Zero Trust Architecture (ZTA) guidance explicitly calls this out: *the Policy Decision Point (PDP) and Policy Enforcement Point (PEP) must sit at the identity </w:t>
            </w:r>
            <w:r w:rsidRPr="009F456A">
              <w:rPr>
                <w:rFonts w:ascii="Times New Roman" w:hAnsi="Times New Roman" w:cs="Times New Roman"/>
                <w:i/>
                <w:iCs/>
              </w:rPr>
              <w:lastRenderedPageBreak/>
              <w:t>layer, not just the network layer. For federal practitioners, this has direct implications for Authority to Operate (ATO) boundaries and Continuous Monitoring (ConMon) strategies.</w:t>
            </w:r>
          </w:p>
          <w:p w14:paraId="7CBCB055" w14:textId="77777777" w:rsidR="009F456A" w:rsidRPr="009F456A" w:rsidRDefault="009F456A" w:rsidP="009966D1">
            <w:pPr>
              <w:pStyle w:val="ListParagraph"/>
              <w:ind w:left="375"/>
              <w:rPr>
                <w:rFonts w:ascii="Times New Roman" w:hAnsi="Times New Roman" w:cs="Times New Roman"/>
              </w:rPr>
            </w:pPr>
          </w:p>
        </w:tc>
      </w:tr>
    </w:tbl>
    <w:p w14:paraId="5331D483" w14:textId="77777777" w:rsidR="009F456A" w:rsidRPr="009F456A" w:rsidRDefault="009F456A" w:rsidP="009F456A">
      <w:pPr>
        <w:rPr>
          <w:rFonts w:ascii="Times New Roman" w:hAnsi="Times New Roman" w:cs="Times New Roman"/>
        </w:rPr>
      </w:pPr>
    </w:p>
    <w:p w14:paraId="777CA133" w14:textId="77777777" w:rsidR="00B56D90" w:rsidRPr="00B56D90" w:rsidRDefault="00B56D90" w:rsidP="00B56D90">
      <w:pPr>
        <w:pStyle w:val="Heading2"/>
        <w:rPr>
          <w:b/>
          <w:bCs/>
        </w:rPr>
      </w:pPr>
      <w:r w:rsidRPr="00B56D90">
        <w:rPr>
          <w:b/>
          <w:bCs/>
        </w:rPr>
        <w:t>1.3 Deconstructing the Identity Paradigm: Beyond the Conventional User Account</w:t>
      </w:r>
    </w:p>
    <w:p w14:paraId="03410C61"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Entry-level engineers frequently conflate the broader concept of enterprise identity with the specific construct of a human user account. This conceptual bias is mathematically and operationally predictable; human-centric accounts are highly visible elements within corporate directories. They feature tangible parameters including explicit object identifiers, linked email endpoints, alphanumeric or cryptographic credentials, access group assignments, and historical authentication logs. Moreover, they represent the primary operational touchpoints for service-desk password resets, administrative account provisioning workflows, regulatory compliance audits, and initial-access adversarial campaigns</w:t>
      </w:r>
    </w:p>
    <w:p w14:paraId="0705F49B"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Understand that contemporary enterprise identity architectures extend substantially beyond human operators.</w:t>
      </w:r>
    </w:p>
    <w:p w14:paraId="42F149C6"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 xml:space="preserve">An enterprise identity object may structurally represent an array of non-human entities and specialized roles. These include domain administrators, system owners, external contractors, headless service accounts, database processes, web application layers, scheduled automated tasks, Application Programming Interfaces (APIs), containerized workloads, machine-bound cryptographic certificates, hardware endpoints, Cloud Service Principals (CSPs), cloud-native managed identities, deployment pipeline accounts, and autonomous artificial intelligence (AI) agents. While certain identities authenticate via interactive, human-driven interfaces, others operate continuously and synchronously as background processes. Structurally, their authentication mechanisms </w:t>
      </w:r>
      <w:proofErr w:type="gramStart"/>
      <w:r w:rsidRPr="00B56D90">
        <w:rPr>
          <w:rFonts w:ascii="Times New Roman" w:hAnsi="Times New Roman" w:cs="Times New Roman"/>
        </w:rPr>
        <w:t>vary:</w:t>
      </w:r>
      <w:proofErr w:type="gramEnd"/>
      <w:r w:rsidRPr="00B56D90">
        <w:rPr>
          <w:rFonts w:ascii="Times New Roman" w:hAnsi="Times New Roman" w:cs="Times New Roman"/>
        </w:rPr>
        <w:t xml:space="preserve"> some rely on traditional passwords, while others utilize asymmetric digital certificates, private keys, ephemeral bearer tokens, Kerberos tickets, OAuth authorization grants, or platform-managed credentials. Crucially, while human accounts are subjected to frequent governance and lifecycle review cycles, non-human identities often remain unmonitored and operationally static for years.</w:t>
      </w:r>
    </w:p>
    <w:p w14:paraId="75415BC0"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This structural bifurcation is a principal driver of the complexity inherent in production-scale identity governance and administration (IGA). Human-centric accounts compose merely the superficial, visible layer of the environment. Beneath this layer lies a complex substrate consisting of service accounts, application identities, machine accounts, nested security groups, custom certificate templates, complex federation trust boundaries, local administrative accounts, cloud-native Role-Based Access Control (RBAC) definitions, directory synchronization accounts, and emergency “break-glass” administrative facilities.</w:t>
      </w:r>
    </w:p>
    <w:p w14:paraId="5F35C7C0"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lastRenderedPageBreak/>
        <w:t>Adversaries maintain strict functional neutrality regarding target selection; they do not differentiate between identities provisioned for human actors, automated services, applications, or hardware endpoints. Threat actors evaluate identities solely based on three primary criteria: authentication viability, the scope of the associated authorization matrix, and the lack of corresponding monitoring telemetry. Any compromised account that can successfully authenticate and provide an execution pathway to an agency’s High-Value Assets (HVAs) satisfies the adversary’s operational objectives.</w:t>
      </w:r>
    </w:p>
    <w:p w14:paraId="1A1699F2"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Analyzing adversarial motivations should serve as a catalyst for security practitioners to enhance mission resilience. This understanding underscores the architectural necessity of analyzing and defending the identity infrastructure as a holistically integrated ecosystem, rather than treating it merely as a discrete repository of disconnected user accounts and hardware endpoints.</w:t>
      </w:r>
    </w:p>
    <w:p w14:paraId="3510BF3A" w14:textId="1C8D08E6" w:rsidR="009F456A" w:rsidRDefault="00B56D90" w:rsidP="009F456A">
      <w:r w:rsidRPr="00B56D90">
        <w:rPr>
          <w:rFonts w:ascii="Times New Roman" w:hAnsi="Times New Roman" w:cs="Times New Roman"/>
        </w:rPr>
        <w:t>The ecosystem encompasses the underlying directory object, the associated credential material, the specific authentication mechanisms, the downstream authorization logic, the prevailing policy context, the net privilege posture, established federation trust boundaries, monitoring coverage, and post-compromise disaster recovery pathways. A security failure within any single component of this systemic matrix immediately converts the entire identity ecosystem into an unmonitored, privileged attack vector.</w:t>
      </w:r>
    </w:p>
    <w:tbl>
      <w:tblPr>
        <w:tblStyle w:val="TableGrid"/>
        <w:tblW w:w="0" w:type="auto"/>
        <w:tblInd w:w="375" w:type="dxa"/>
        <w:tblLook w:val="04A0" w:firstRow="1" w:lastRow="0" w:firstColumn="1" w:lastColumn="0" w:noHBand="0" w:noVBand="1"/>
      </w:tblPr>
      <w:tblGrid>
        <w:gridCol w:w="3040"/>
        <w:gridCol w:w="5935"/>
      </w:tblGrid>
      <w:tr w:rsidR="009F456A" w14:paraId="551DA01D" w14:textId="77777777" w:rsidTr="009966D1">
        <w:tc>
          <w:tcPr>
            <w:tcW w:w="3040" w:type="dxa"/>
            <w:shd w:val="clear" w:color="auto" w:fill="000000" w:themeFill="text1"/>
          </w:tcPr>
          <w:p w14:paraId="5E84F5ED" w14:textId="77777777" w:rsidR="009F456A" w:rsidRPr="009F456A" w:rsidRDefault="009F456A" w:rsidP="009966D1">
            <w:pPr>
              <w:pStyle w:val="ListParagraph"/>
              <w:spacing w:after="160" w:line="278" w:lineRule="auto"/>
              <w:ind w:left="375"/>
              <w:rPr>
                <w:rFonts w:ascii="Times New Roman" w:hAnsi="Times New Roman" w:cs="Times New Roman"/>
                <w:b/>
                <w:bCs/>
                <w:sz w:val="28"/>
                <w:szCs w:val="28"/>
              </w:rPr>
            </w:pPr>
            <w:r w:rsidRPr="009F456A">
              <w:rPr>
                <w:rFonts w:ascii="Times New Roman" w:hAnsi="Times New Roman" w:cs="Times New Roman"/>
                <w:b/>
                <w:bCs/>
                <w:color w:val="FFFFFF" w:themeColor="background1"/>
                <w:sz w:val="32"/>
                <w:szCs w:val="32"/>
                <w:shd w:val="clear" w:color="auto" w:fill="000000" w:themeFill="text1"/>
              </w:rPr>
              <w:t>Analytical</w:t>
            </w:r>
            <w:r w:rsidRPr="009F456A">
              <w:rPr>
                <w:rFonts w:ascii="Times New Roman" w:hAnsi="Times New Roman" w:cs="Times New Roman"/>
                <w:b/>
                <w:bCs/>
                <w:color w:val="FFFFFF" w:themeColor="background1"/>
                <w:sz w:val="28"/>
                <w:szCs w:val="28"/>
              </w:rPr>
              <w:t xml:space="preserve"> </w:t>
            </w:r>
            <w:r w:rsidRPr="009F456A">
              <w:rPr>
                <w:rFonts w:ascii="Times New Roman" w:hAnsi="Times New Roman" w:cs="Times New Roman"/>
                <w:b/>
                <w:bCs/>
                <w:color w:val="FFFFFF" w:themeColor="background1"/>
                <w:sz w:val="32"/>
                <w:szCs w:val="32"/>
              </w:rPr>
              <w:t>Note</w:t>
            </w:r>
          </w:p>
        </w:tc>
        <w:tc>
          <w:tcPr>
            <w:tcW w:w="5935" w:type="dxa"/>
            <w:tcBorders>
              <w:top w:val="nil"/>
              <w:right w:val="nil"/>
            </w:tcBorders>
          </w:tcPr>
          <w:p w14:paraId="2DDB677B" w14:textId="77777777" w:rsidR="009F456A" w:rsidRPr="002F0BA4" w:rsidRDefault="009F456A" w:rsidP="009966D1">
            <w:pPr>
              <w:pStyle w:val="ListParagraph"/>
              <w:ind w:left="375"/>
              <w:rPr>
                <w:b/>
                <w:bCs/>
                <w:sz w:val="28"/>
                <w:szCs w:val="28"/>
              </w:rPr>
            </w:pPr>
          </w:p>
        </w:tc>
      </w:tr>
      <w:tr w:rsidR="009F456A" w14:paraId="1FDAA445" w14:textId="77777777" w:rsidTr="009966D1">
        <w:tc>
          <w:tcPr>
            <w:tcW w:w="8975" w:type="dxa"/>
            <w:gridSpan w:val="2"/>
          </w:tcPr>
          <w:p w14:paraId="6C946ED8" w14:textId="77777777" w:rsidR="009F456A" w:rsidRPr="009F456A" w:rsidRDefault="009F456A" w:rsidP="009966D1">
            <w:pPr>
              <w:pStyle w:val="ListParagraph"/>
              <w:ind w:left="375"/>
              <w:rPr>
                <w:rFonts w:ascii="Times New Roman" w:hAnsi="Times New Roman" w:cs="Times New Roman"/>
              </w:rPr>
            </w:pPr>
          </w:p>
          <w:p w14:paraId="156D4D68" w14:textId="77777777" w:rsidR="009F456A" w:rsidRPr="009F456A" w:rsidRDefault="009F456A" w:rsidP="009966D1">
            <w:pPr>
              <w:pStyle w:val="ListParagraph"/>
              <w:spacing w:after="160" w:line="278" w:lineRule="auto"/>
              <w:ind w:left="375"/>
              <w:rPr>
                <w:rFonts w:ascii="Times New Roman" w:hAnsi="Times New Roman" w:cs="Times New Roman"/>
                <w:i/>
                <w:iCs/>
              </w:rPr>
            </w:pPr>
            <w:r w:rsidRPr="009F456A">
              <w:rPr>
                <w:rFonts w:ascii="Times New Roman" w:hAnsi="Times New Roman" w:cs="Times New Roman"/>
                <w:i/>
                <w:iCs/>
              </w:rPr>
              <w:t xml:space="preserve">The "ecosystem" framing is particularly relevant for federal practitioners managing Enterprise Mission Assurance Support Service (eMASS) packages and navigating the DoD Information </w:t>
            </w:r>
            <w:proofErr w:type="gramStart"/>
            <w:r w:rsidRPr="009F456A">
              <w:rPr>
                <w:rFonts w:ascii="Times New Roman" w:hAnsi="Times New Roman" w:cs="Times New Roman"/>
                <w:i/>
                <w:iCs/>
              </w:rPr>
              <w:t>Assurance Vulnerability</w:t>
            </w:r>
            <w:proofErr w:type="gramEnd"/>
            <w:r w:rsidRPr="009F456A">
              <w:rPr>
                <w:rFonts w:ascii="Times New Roman" w:hAnsi="Times New Roman" w:cs="Times New Roman"/>
                <w:i/>
                <w:iCs/>
              </w:rPr>
              <w:t xml:space="preserve"> Management (IAVM) process. When an assessor identifies a finding, the root cause is rarely a single misconfigured account - it is usually an ecosystem failure: a service account with excessive privileges, no monitoring, an undocumented recovery path, and a credential that has not rotated in three years. The defender who inventories only user accounts is conducting an incomplete assessment. The defender who maps the full identity ecosystem - including service principals, managed identities, certificate bindings, and federation trust assertions - is conducting security engineering.</w:t>
            </w:r>
          </w:p>
          <w:p w14:paraId="1D3F48DA" w14:textId="77777777" w:rsidR="009F456A" w:rsidRPr="009F456A" w:rsidRDefault="009F456A" w:rsidP="009966D1">
            <w:pPr>
              <w:pStyle w:val="ListParagraph"/>
              <w:ind w:left="375"/>
              <w:rPr>
                <w:rFonts w:ascii="Times New Roman" w:hAnsi="Times New Roman" w:cs="Times New Roman"/>
              </w:rPr>
            </w:pPr>
          </w:p>
        </w:tc>
      </w:tr>
    </w:tbl>
    <w:p w14:paraId="61A14B49" w14:textId="77777777" w:rsidR="00B56D90" w:rsidRPr="00B56D90" w:rsidRDefault="00B56D90" w:rsidP="00B56D90">
      <w:pPr>
        <w:pStyle w:val="Heading2"/>
        <w:rPr>
          <w:b/>
          <w:bCs/>
        </w:rPr>
      </w:pPr>
      <w:r w:rsidRPr="00B56D90">
        <w:rPr>
          <w:b/>
          <w:bCs/>
        </w:rPr>
        <w:t>1.4 Active Directory as Mission-Critical Identity Infrastructure</w:t>
      </w:r>
    </w:p>
    <w:p w14:paraId="2CDD532A"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Active Directory (AD) remains the foundational identity control plane across the commercial sector, as well as within federal, military, defense, and intelligence architectures. Despite the widespread adoption of cloud-native infrastructure and modern Identity-as-a-Service (</w:t>
      </w:r>
      <w:proofErr w:type="spellStart"/>
      <w:r w:rsidRPr="00B56D90">
        <w:rPr>
          <w:rFonts w:ascii="Times New Roman" w:hAnsi="Times New Roman" w:cs="Times New Roman"/>
        </w:rPr>
        <w:t>IDaaS</w:t>
      </w:r>
      <w:proofErr w:type="spellEnd"/>
      <w:r w:rsidRPr="00B56D90">
        <w:rPr>
          <w:rFonts w:ascii="Times New Roman" w:hAnsi="Times New Roman" w:cs="Times New Roman"/>
        </w:rPr>
        <w:t xml:space="preserve">) providers, legacy Active Directory deployments remain deeply embedded within enterprise operational frameworks. The platform continues to orchestrate core capabilities, including authentication and authorization boundaries, administrative boundaries, Group Policy Object </w:t>
      </w:r>
      <w:r w:rsidRPr="00B56D90">
        <w:rPr>
          <w:rFonts w:ascii="Times New Roman" w:hAnsi="Times New Roman" w:cs="Times New Roman"/>
        </w:rPr>
        <w:lastRenderedPageBreak/>
        <w:t>(GPO) enforcement, Kerberos and Lightweight Directory Access Protocol (LDAP) traffic, Domain Name System (DNS) naming hierarchies, Active Directory Certificate Services (AD CS), file system Access Control Lists (ACLs), endpoint configuration baselines, application-level authentication, and hybrid directory synchronization engines.</w:t>
      </w:r>
    </w:p>
    <w:p w14:paraId="513A9EAC"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Consequently, Active Directory cannot be viewed merely as an isolated directory database; it constitutes a mission-critical infrastructure layer.</w:t>
      </w:r>
    </w:p>
    <w:p w14:paraId="262851D3"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A Domain Controller (DC) operates far beyond the scope of a passive account repository. It serves as the authoritative root of trust for active cryptographic authentication, hosting the Key Distribution Center (KDC) required for Kerberos ticketing operations. It also executes multi-master directory replication topology, enforces centralized security policies, and facilitates privileged administrative access across the forest. The DC also interacts natively with core networking protocols like DNS and Dynamic Host Configuration Protocol (DHCP). It also integrates directly with Public Key Infrastructure (PKI), external federation gateways, cloud-synchronization agents, security telemetry monitoring pipelines, vulnerability assessment scanners, and specialized mission-specific application layers.</w:t>
      </w:r>
    </w:p>
    <w:p w14:paraId="372DE244"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During nominal, uncompromised operations, Active Directory maintains the visible stability of the entire enterprise. User authentication succeeds seamlessly, administrators execute systems management workflows, security baseline policies are deterministically applied, and independent services authenticate without disruption. Concurrently, applications function as intended, cryptographic certificates are issued within trusted parameters, cross-forest trust relationships operate correctly, and remote access systems maintain steady availability for distributed mission personnel.</w:t>
      </w:r>
    </w:p>
    <w:p w14:paraId="2B0B6624"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Conversely, a systemic compromise of the Active Directory infrastructure completely invalidates the integrity of the enterprise’s internal trust decisions.</w:t>
      </w:r>
    </w:p>
    <w:p w14:paraId="737CC51D"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 xml:space="preserve">This architectural reality differentiates an identity control plane compromise from a localized, host-level security incident. A compromised file server typically results in isolated data exposure, a breached workstation compromises individual user context, and an application-level vulnerability triggers a scoped, app-specific incident response. </w:t>
      </w:r>
    </w:p>
    <w:p w14:paraId="699EB7B1" w14:textId="3EE00FDA" w:rsidR="00B56D90" w:rsidRPr="00B56D90" w:rsidRDefault="00B56D90" w:rsidP="00B56D90">
      <w:pPr>
        <w:rPr>
          <w:rFonts w:ascii="Times New Roman" w:hAnsi="Times New Roman" w:cs="Times New Roman"/>
        </w:rPr>
      </w:pPr>
      <w:r w:rsidRPr="00B56D90">
        <w:rPr>
          <w:rFonts w:ascii="Times New Roman" w:hAnsi="Times New Roman" w:cs="Times New Roman"/>
        </w:rPr>
        <w:t>In stark contrast, a compromise of the identity control plane undermines the entire enterprise ecosystem simultaneously. It permanently degrades the reliability of authentication mechanisms, invalidates authorization boundaries, subverts privileged roles, manipulates centralized group policies, compromises root certificate and federation trust relationships, and strips defenders of administrative control.</w:t>
      </w:r>
    </w:p>
    <w:p w14:paraId="39E53C53" w14:textId="3036194B" w:rsidR="009F456A" w:rsidRPr="00EC0E52" w:rsidRDefault="00B56D90" w:rsidP="00EC0E52">
      <w:pPr>
        <w:rPr>
          <w:rFonts w:ascii="Times New Roman" w:hAnsi="Times New Roman" w:cs="Times New Roman"/>
        </w:rPr>
      </w:pPr>
      <w:r w:rsidRPr="00B56D90">
        <w:rPr>
          <w:rFonts w:ascii="Times New Roman" w:hAnsi="Times New Roman" w:cs="Times New Roman"/>
        </w:rPr>
        <w:t xml:space="preserve">This systemic impact underscores the severe operational risk posed by advanced Active Directory attack vectors, such as DCSync replication abuse, ntds.dit database extraction, Golden Ticket forgery, AdminSDHolder persistence manipulation, Active Directory Certificate Services (AD CS) misconfiguration exploitation, and rogue federation trust injections. These techniques </w:t>
      </w:r>
      <w:r w:rsidRPr="00B56D90">
        <w:rPr>
          <w:rFonts w:ascii="Times New Roman" w:hAnsi="Times New Roman" w:cs="Times New Roman"/>
        </w:rPr>
        <w:lastRenderedPageBreak/>
        <w:t>do not target isolated endpoints or peripheral hosts; instead, they directly subvert the foundational mechanisms used by the enterprise to establish, validate, and enforce cryptographic trust.</w:t>
      </w:r>
    </w:p>
    <w:tbl>
      <w:tblPr>
        <w:tblStyle w:val="TableGrid"/>
        <w:tblW w:w="0" w:type="auto"/>
        <w:tblInd w:w="375" w:type="dxa"/>
        <w:tblLook w:val="04A0" w:firstRow="1" w:lastRow="0" w:firstColumn="1" w:lastColumn="0" w:noHBand="0" w:noVBand="1"/>
      </w:tblPr>
      <w:tblGrid>
        <w:gridCol w:w="3040"/>
        <w:gridCol w:w="5935"/>
      </w:tblGrid>
      <w:tr w:rsidR="009F456A" w:rsidRPr="009F456A" w14:paraId="4A986B19" w14:textId="77777777" w:rsidTr="009966D1">
        <w:tc>
          <w:tcPr>
            <w:tcW w:w="3040" w:type="dxa"/>
            <w:shd w:val="clear" w:color="auto" w:fill="000000" w:themeFill="text1"/>
          </w:tcPr>
          <w:p w14:paraId="2A481206" w14:textId="77777777" w:rsidR="009F456A" w:rsidRPr="009F456A" w:rsidRDefault="009F456A" w:rsidP="009966D1">
            <w:pPr>
              <w:pStyle w:val="ListParagraph"/>
              <w:spacing w:after="160" w:line="278" w:lineRule="auto"/>
              <w:ind w:left="375"/>
              <w:rPr>
                <w:rFonts w:ascii="Times New Roman" w:hAnsi="Times New Roman" w:cs="Times New Roman"/>
                <w:b/>
                <w:bCs/>
                <w:sz w:val="28"/>
                <w:szCs w:val="28"/>
              </w:rPr>
            </w:pPr>
            <w:r w:rsidRPr="009F456A">
              <w:rPr>
                <w:rFonts w:ascii="Times New Roman" w:hAnsi="Times New Roman" w:cs="Times New Roman"/>
                <w:b/>
                <w:bCs/>
                <w:color w:val="FFFFFF" w:themeColor="background1"/>
                <w:sz w:val="32"/>
                <w:szCs w:val="32"/>
                <w:shd w:val="clear" w:color="auto" w:fill="000000" w:themeFill="text1"/>
              </w:rPr>
              <w:t>Analytical</w:t>
            </w:r>
            <w:r w:rsidRPr="009F456A">
              <w:rPr>
                <w:rFonts w:ascii="Times New Roman" w:hAnsi="Times New Roman" w:cs="Times New Roman"/>
                <w:b/>
                <w:bCs/>
                <w:color w:val="FFFFFF" w:themeColor="background1"/>
                <w:sz w:val="28"/>
                <w:szCs w:val="28"/>
              </w:rPr>
              <w:t xml:space="preserve"> </w:t>
            </w:r>
            <w:r w:rsidRPr="009F456A">
              <w:rPr>
                <w:rFonts w:ascii="Times New Roman" w:hAnsi="Times New Roman" w:cs="Times New Roman"/>
                <w:b/>
                <w:bCs/>
                <w:color w:val="FFFFFF" w:themeColor="background1"/>
                <w:sz w:val="32"/>
                <w:szCs w:val="32"/>
              </w:rPr>
              <w:t>Note</w:t>
            </w:r>
          </w:p>
        </w:tc>
        <w:tc>
          <w:tcPr>
            <w:tcW w:w="5935" w:type="dxa"/>
            <w:tcBorders>
              <w:top w:val="nil"/>
              <w:right w:val="nil"/>
            </w:tcBorders>
          </w:tcPr>
          <w:p w14:paraId="29E829CD" w14:textId="77777777" w:rsidR="009F456A" w:rsidRPr="009F456A" w:rsidRDefault="009F456A" w:rsidP="009966D1">
            <w:pPr>
              <w:pStyle w:val="ListParagraph"/>
              <w:ind w:left="375"/>
              <w:rPr>
                <w:rFonts w:ascii="Times New Roman" w:hAnsi="Times New Roman" w:cs="Times New Roman"/>
                <w:b/>
                <w:bCs/>
                <w:sz w:val="28"/>
                <w:szCs w:val="28"/>
              </w:rPr>
            </w:pPr>
          </w:p>
        </w:tc>
      </w:tr>
      <w:tr w:rsidR="009F456A" w:rsidRPr="009F456A" w14:paraId="3865C5DD" w14:textId="77777777" w:rsidTr="009966D1">
        <w:tc>
          <w:tcPr>
            <w:tcW w:w="8975" w:type="dxa"/>
            <w:gridSpan w:val="2"/>
          </w:tcPr>
          <w:p w14:paraId="54517ED0" w14:textId="77777777" w:rsidR="009F456A" w:rsidRPr="009F456A" w:rsidRDefault="009F456A" w:rsidP="009966D1">
            <w:pPr>
              <w:pStyle w:val="ListParagraph"/>
              <w:ind w:left="375"/>
              <w:rPr>
                <w:rFonts w:ascii="Times New Roman" w:hAnsi="Times New Roman" w:cs="Times New Roman"/>
              </w:rPr>
            </w:pPr>
          </w:p>
          <w:p w14:paraId="557ADE82" w14:textId="4EC796FE" w:rsidR="009F456A" w:rsidRPr="009F456A" w:rsidRDefault="009F456A" w:rsidP="009966D1">
            <w:pPr>
              <w:pStyle w:val="ListParagraph"/>
              <w:spacing w:after="160" w:line="278" w:lineRule="auto"/>
              <w:ind w:left="375"/>
              <w:rPr>
                <w:rFonts w:ascii="Times New Roman" w:hAnsi="Times New Roman" w:cs="Times New Roman"/>
                <w:i/>
                <w:iCs/>
              </w:rPr>
            </w:pPr>
            <w:r w:rsidRPr="009F456A">
              <w:rPr>
                <w:rFonts w:ascii="Times New Roman" w:hAnsi="Times New Roman" w:cs="Times New Roman"/>
                <w:i/>
                <w:iCs/>
              </w:rPr>
              <w:t>The characterization of Active Directory as "mission infrastructure" rather than "just a directory" carries weight in federal acquisition and authorization contexts. Under DoD Instruction (DoDI) 8500.01 and the Committee on National Security Systems (CNSS) Instruction 1253, Active Directory Domain Services (AD DS) often falls under the categorization of a "</w:t>
            </w:r>
            <w:r>
              <w:rPr>
                <w:rFonts w:ascii="Times New Roman" w:hAnsi="Times New Roman" w:cs="Times New Roman"/>
                <w:i/>
                <w:iCs/>
              </w:rPr>
              <w:t>H</w:t>
            </w:r>
            <w:r w:rsidRPr="009F456A">
              <w:rPr>
                <w:rFonts w:ascii="Times New Roman" w:hAnsi="Times New Roman" w:cs="Times New Roman"/>
                <w:i/>
                <w:iCs/>
              </w:rPr>
              <w:t xml:space="preserve">igh </w:t>
            </w:r>
            <w:r>
              <w:rPr>
                <w:rFonts w:ascii="Times New Roman" w:hAnsi="Times New Roman" w:cs="Times New Roman"/>
                <w:i/>
                <w:iCs/>
              </w:rPr>
              <w:t>V</w:t>
            </w:r>
            <w:r w:rsidRPr="009F456A">
              <w:rPr>
                <w:rFonts w:ascii="Times New Roman" w:hAnsi="Times New Roman" w:cs="Times New Roman"/>
                <w:i/>
                <w:iCs/>
              </w:rPr>
              <w:t xml:space="preserve">alue </w:t>
            </w:r>
            <w:r>
              <w:rPr>
                <w:rFonts w:ascii="Times New Roman" w:hAnsi="Times New Roman" w:cs="Times New Roman"/>
                <w:i/>
                <w:iCs/>
              </w:rPr>
              <w:t>A</w:t>
            </w:r>
            <w:r w:rsidRPr="009F456A">
              <w:rPr>
                <w:rFonts w:ascii="Times New Roman" w:hAnsi="Times New Roman" w:cs="Times New Roman"/>
                <w:i/>
                <w:iCs/>
              </w:rPr>
              <w:t>sset" (HVA) or at minimum requires enhanced security controls. The distinction matters because it drives resourcing, assessment rigor, and incident response priority. When an Authorizing Official (AO) signs an ATO, they are implicitly trusting the identity control plane. If that plane is compromised, the ATOs foundational assumptions collapse. This is why AD compromise is not merely a "security incident" - it is a mission assurance event that may require reauthorization and recertification.</w:t>
            </w:r>
          </w:p>
          <w:p w14:paraId="65B6FF1C" w14:textId="77777777" w:rsidR="009F456A" w:rsidRPr="009F456A" w:rsidRDefault="009F456A" w:rsidP="009966D1">
            <w:pPr>
              <w:pStyle w:val="ListParagraph"/>
              <w:ind w:left="375"/>
              <w:rPr>
                <w:rFonts w:ascii="Times New Roman" w:hAnsi="Times New Roman" w:cs="Times New Roman"/>
              </w:rPr>
            </w:pPr>
          </w:p>
        </w:tc>
      </w:tr>
    </w:tbl>
    <w:p w14:paraId="52D2D9EF" w14:textId="77777777" w:rsidR="00B56D90" w:rsidRPr="00B56D90" w:rsidRDefault="00B56D90" w:rsidP="00B56D90">
      <w:pPr>
        <w:pStyle w:val="Heading2"/>
        <w:rPr>
          <w:b/>
          <w:bCs/>
        </w:rPr>
      </w:pPr>
      <w:r w:rsidRPr="00B56D90">
        <w:rPr>
          <w:b/>
          <w:bCs/>
        </w:rPr>
        <w:t>1.5 Federal Identity, Credential, and Access Management (FICAM) as an Analytical Governance Framework</w:t>
      </w:r>
    </w:p>
    <w:p w14:paraId="58899142" w14:textId="5F693736" w:rsidR="00B56D90" w:rsidRPr="00B56D90" w:rsidRDefault="00B56D90" w:rsidP="00B56D90">
      <w:pPr>
        <w:rPr>
          <w:rFonts w:ascii="Times New Roman" w:hAnsi="Times New Roman" w:cs="Times New Roman"/>
        </w:rPr>
      </w:pPr>
      <w:r w:rsidRPr="00B56D90">
        <w:rPr>
          <w:rFonts w:ascii="Times New Roman" w:hAnsi="Times New Roman" w:cs="Times New Roman"/>
        </w:rPr>
        <w:t>Within the United States Federal Government and the Department of Defense (DoD), identity security is treated not merely as a technical discipline, but as a critical governance doctrine. The Federal Identity, Credential, and Access Management (FICAM) architecture provides the authoritative framework for orchestrating identity operations across federal agencies, military departments and branches, coalition mission partners, and federal information systems.</w:t>
      </w:r>
    </w:p>
    <w:p w14:paraId="30967A54"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FICAM serves as a foundational governance paradigm because identity decisions must be systematically managed across the entirety of the identity lifecycle.</w:t>
      </w:r>
    </w:p>
    <w:p w14:paraId="7AA95756" w14:textId="60CC836F" w:rsidR="00B56D90" w:rsidRPr="00B56D90" w:rsidRDefault="00B56D90" w:rsidP="00B56D90">
      <w:pPr>
        <w:rPr>
          <w:rFonts w:ascii="Times New Roman" w:hAnsi="Times New Roman" w:cs="Times New Roman"/>
        </w:rPr>
      </w:pPr>
      <w:r w:rsidRPr="00B56D90">
        <w:rPr>
          <w:rFonts w:ascii="Times New Roman" w:hAnsi="Times New Roman" w:cs="Times New Roman"/>
        </w:rPr>
        <w:t xml:space="preserve">This comprehensive lifecycle encompasses the initial establishment of a person or non-human entity, credential provisioning, access requests, and formal administrative authorization. Operationally, it dictates the enforcement of runtime authentication and authorization boundaries, persistent audit logging, and regular privilege review cycles. Finally, it governs the renewal or revocation of credential material, account deprovisioning (including modification, suspension, or deletion), the maintenance of external federation boundaries, the continuous evaluation of </w:t>
      </w:r>
      <w:r w:rsidR="00EC0E52">
        <w:rPr>
          <w:rFonts w:ascii="Times New Roman" w:hAnsi="Times New Roman" w:cs="Times New Roman"/>
        </w:rPr>
        <w:t>A</w:t>
      </w:r>
      <w:r w:rsidRPr="00B56D90">
        <w:rPr>
          <w:rFonts w:ascii="Times New Roman" w:hAnsi="Times New Roman" w:cs="Times New Roman"/>
        </w:rPr>
        <w:t xml:space="preserve">uthenticator </w:t>
      </w:r>
      <w:r w:rsidR="00EC0E52">
        <w:rPr>
          <w:rFonts w:ascii="Times New Roman" w:hAnsi="Times New Roman" w:cs="Times New Roman"/>
        </w:rPr>
        <w:t>A</w:t>
      </w:r>
      <w:r w:rsidRPr="00B56D90">
        <w:rPr>
          <w:rFonts w:ascii="Times New Roman" w:hAnsi="Times New Roman" w:cs="Times New Roman"/>
        </w:rPr>
        <w:t xml:space="preserve">ssurance </w:t>
      </w:r>
      <w:r w:rsidR="00EC0E52">
        <w:rPr>
          <w:rFonts w:ascii="Times New Roman" w:hAnsi="Times New Roman" w:cs="Times New Roman"/>
        </w:rPr>
        <w:t>L</w:t>
      </w:r>
      <w:r w:rsidRPr="00B56D90">
        <w:rPr>
          <w:rFonts w:ascii="Times New Roman" w:hAnsi="Times New Roman" w:cs="Times New Roman"/>
        </w:rPr>
        <w:t>evels (AALs), and the strategic balancing of mission requirements against organizational risk factors.</w:t>
      </w:r>
    </w:p>
    <w:p w14:paraId="06C9BFCA"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 xml:space="preserve">Absent rigorous governance, the identity infrastructure degenerates into an unmanaged, expanding attack surface. Over time, orphaned accounts accumulate, privileges expand </w:t>
      </w:r>
      <w:r w:rsidRPr="00B56D90">
        <w:rPr>
          <w:rFonts w:ascii="Times New Roman" w:hAnsi="Times New Roman" w:cs="Times New Roman"/>
        </w:rPr>
        <w:lastRenderedPageBreak/>
        <w:t>continuously without justification, and legacy service accounts persist long after project termination or conclusion. Similarly, external contractors routinely retain active access vectors following their departure from a command, temporary security exceptions inadvertently institutionalize as permanent operational norms, and complex federation trust relationships remain undocumented.</w:t>
      </w:r>
    </w:p>
    <w:p w14:paraId="1FF01085"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Furthermore, cryptographic certificate templates undergo configuration drift, mandatory access reviews degrade into perfunctory compliance exercises, and highly privileged administrative roles are inherited rather than explicitly justified and verified prior to assignment.</w:t>
      </w:r>
    </w:p>
    <w:p w14:paraId="3AD82E0B" w14:textId="11248E9D" w:rsidR="00B56D90" w:rsidRPr="00B56D90" w:rsidRDefault="00B56D90" w:rsidP="00B56D90">
      <w:pPr>
        <w:rPr>
          <w:rFonts w:ascii="Times New Roman" w:hAnsi="Times New Roman" w:cs="Times New Roman"/>
        </w:rPr>
      </w:pPr>
      <w:r w:rsidRPr="00B56D90">
        <w:rPr>
          <w:rFonts w:ascii="Times New Roman" w:hAnsi="Times New Roman" w:cs="Times New Roman"/>
        </w:rPr>
        <w:t>The FICAM framework systematically transforms identity management into a structured lifecycle problem. It provides the metrics required to evaluate whether digital identities are legitimately established, whether cryptographic credentials remain trustworthy, and whether active access privileges align with least-privilege principles. Architecturally, it assesses whether federation relationships are governed, whether authentication assurance thresholds match system risk, whether downstream authorization decisions remain valid, whether transactional activity is fully auditable, and whether overall mission risk is accurately quantified.</w:t>
      </w:r>
    </w:p>
    <w:p w14:paraId="3602E428" w14:textId="10552789" w:rsidR="00B56D90" w:rsidRPr="00B56D90" w:rsidRDefault="00B56D90" w:rsidP="00B56D90">
      <w:pPr>
        <w:rPr>
          <w:rFonts w:ascii="Times New Roman" w:hAnsi="Times New Roman" w:cs="Times New Roman"/>
        </w:rPr>
      </w:pPr>
      <w:r w:rsidRPr="00B56D90">
        <w:rPr>
          <w:rFonts w:ascii="Times New Roman" w:hAnsi="Times New Roman" w:cs="Times New Roman"/>
        </w:rPr>
        <w:t>Accordingly, this book utilizes the FICAM framework as a recurring analytical lens rather than a localized, single-chapter topic. While Chapter 2 introduces the framework’s core components directly, its structural principles inform the remainder of this book. When analyzing Active Directory architecture, the text evaluates how specific directory topologies support identity governance. When detailing infrastructure hardening strategies, the focus shifts to whether technical controls enforce credential and access governance. In the analysis of specific attack vectors, the narrative identifies the precise governance vulnerabilities that permitted the compromise. Similarly, detection strategies are framed around whether identity telemetry provides sufficient visibility and accountability, and disaster recovery processes are evaluated by how cryptographically verifiable trust is restored across the identity lifecycle.</w:t>
      </w:r>
    </w:p>
    <w:p w14:paraId="4C8019DD" w14:textId="09078F48" w:rsidR="009F456A" w:rsidRPr="009F456A" w:rsidRDefault="00B56D90" w:rsidP="009F456A">
      <w:pPr>
        <w:rPr>
          <w:rFonts w:ascii="Times New Roman" w:hAnsi="Times New Roman" w:cs="Times New Roman"/>
        </w:rPr>
      </w:pPr>
      <w:r w:rsidRPr="00B56D90">
        <w:rPr>
          <w:rFonts w:ascii="Times New Roman" w:hAnsi="Times New Roman" w:cs="Times New Roman"/>
        </w:rPr>
        <w:t>Ultimately, the FICAM methodology equips the reader with a structured framework to connect technical identity risks directly to enterprise governance, cryptographic assurance, authorization logic, systemic accountability, and overall mission impact.</w:t>
      </w:r>
    </w:p>
    <w:tbl>
      <w:tblPr>
        <w:tblStyle w:val="TableGrid"/>
        <w:tblW w:w="0" w:type="auto"/>
        <w:tblInd w:w="375" w:type="dxa"/>
        <w:tblLook w:val="04A0" w:firstRow="1" w:lastRow="0" w:firstColumn="1" w:lastColumn="0" w:noHBand="0" w:noVBand="1"/>
      </w:tblPr>
      <w:tblGrid>
        <w:gridCol w:w="3040"/>
        <w:gridCol w:w="5935"/>
      </w:tblGrid>
      <w:tr w:rsidR="009F456A" w:rsidRPr="009F456A" w14:paraId="3B637533" w14:textId="77777777" w:rsidTr="009966D1">
        <w:tc>
          <w:tcPr>
            <w:tcW w:w="3040" w:type="dxa"/>
            <w:shd w:val="clear" w:color="auto" w:fill="000000" w:themeFill="text1"/>
          </w:tcPr>
          <w:p w14:paraId="696D0781" w14:textId="77777777" w:rsidR="009F456A" w:rsidRPr="009F456A" w:rsidRDefault="009F456A" w:rsidP="009966D1">
            <w:pPr>
              <w:pStyle w:val="ListParagraph"/>
              <w:spacing w:after="160" w:line="278" w:lineRule="auto"/>
              <w:ind w:left="375"/>
              <w:rPr>
                <w:rFonts w:ascii="Times New Roman" w:hAnsi="Times New Roman" w:cs="Times New Roman"/>
                <w:b/>
                <w:bCs/>
                <w:sz w:val="28"/>
                <w:szCs w:val="28"/>
              </w:rPr>
            </w:pPr>
            <w:r w:rsidRPr="009F456A">
              <w:rPr>
                <w:rFonts w:ascii="Times New Roman" w:hAnsi="Times New Roman" w:cs="Times New Roman"/>
                <w:b/>
                <w:bCs/>
                <w:color w:val="FFFFFF" w:themeColor="background1"/>
                <w:sz w:val="32"/>
                <w:szCs w:val="32"/>
                <w:shd w:val="clear" w:color="auto" w:fill="000000" w:themeFill="text1"/>
              </w:rPr>
              <w:t>Analytical</w:t>
            </w:r>
            <w:r w:rsidRPr="009F456A">
              <w:rPr>
                <w:rFonts w:ascii="Times New Roman" w:hAnsi="Times New Roman" w:cs="Times New Roman"/>
                <w:b/>
                <w:bCs/>
                <w:color w:val="FFFFFF" w:themeColor="background1"/>
                <w:sz w:val="28"/>
                <w:szCs w:val="28"/>
              </w:rPr>
              <w:t xml:space="preserve"> </w:t>
            </w:r>
            <w:r w:rsidRPr="009F456A">
              <w:rPr>
                <w:rFonts w:ascii="Times New Roman" w:hAnsi="Times New Roman" w:cs="Times New Roman"/>
                <w:b/>
                <w:bCs/>
                <w:color w:val="FFFFFF" w:themeColor="background1"/>
                <w:sz w:val="32"/>
                <w:szCs w:val="32"/>
              </w:rPr>
              <w:t>Note</w:t>
            </w:r>
          </w:p>
        </w:tc>
        <w:tc>
          <w:tcPr>
            <w:tcW w:w="5935" w:type="dxa"/>
            <w:tcBorders>
              <w:top w:val="nil"/>
              <w:right w:val="nil"/>
            </w:tcBorders>
          </w:tcPr>
          <w:p w14:paraId="16C5C000" w14:textId="77777777" w:rsidR="009F456A" w:rsidRPr="009F456A" w:rsidRDefault="009F456A" w:rsidP="009966D1">
            <w:pPr>
              <w:pStyle w:val="ListParagraph"/>
              <w:ind w:left="375"/>
              <w:rPr>
                <w:rFonts w:ascii="Times New Roman" w:hAnsi="Times New Roman" w:cs="Times New Roman"/>
                <w:b/>
                <w:bCs/>
                <w:sz w:val="28"/>
                <w:szCs w:val="28"/>
              </w:rPr>
            </w:pPr>
          </w:p>
        </w:tc>
      </w:tr>
      <w:tr w:rsidR="009F456A" w:rsidRPr="009F456A" w14:paraId="54AF04C9" w14:textId="77777777" w:rsidTr="009966D1">
        <w:tc>
          <w:tcPr>
            <w:tcW w:w="8975" w:type="dxa"/>
            <w:gridSpan w:val="2"/>
          </w:tcPr>
          <w:p w14:paraId="7193FE04" w14:textId="77777777" w:rsidR="009F456A" w:rsidRPr="009F456A" w:rsidRDefault="009F456A" w:rsidP="009966D1">
            <w:pPr>
              <w:pStyle w:val="ListParagraph"/>
              <w:ind w:left="375"/>
              <w:rPr>
                <w:rFonts w:ascii="Times New Roman" w:hAnsi="Times New Roman" w:cs="Times New Roman"/>
              </w:rPr>
            </w:pPr>
          </w:p>
          <w:p w14:paraId="5584CD26" w14:textId="13260238" w:rsidR="009F456A" w:rsidRPr="009F456A" w:rsidRDefault="009F456A" w:rsidP="009966D1">
            <w:pPr>
              <w:pStyle w:val="ListParagraph"/>
              <w:spacing w:after="160" w:line="278" w:lineRule="auto"/>
              <w:ind w:left="375"/>
              <w:rPr>
                <w:rFonts w:ascii="Times New Roman" w:hAnsi="Times New Roman" w:cs="Times New Roman"/>
                <w:i/>
                <w:iCs/>
              </w:rPr>
            </w:pPr>
            <w:r w:rsidRPr="009F456A">
              <w:rPr>
                <w:rFonts w:ascii="Times New Roman" w:hAnsi="Times New Roman" w:cs="Times New Roman"/>
                <w:i/>
                <w:iCs/>
              </w:rPr>
              <w:t xml:space="preserve">FICAM is frequently misunderstood as a compliance checkbox or a set of policy documents. It is neither. </w:t>
            </w:r>
            <w:r w:rsidR="00EC0E52">
              <w:rPr>
                <w:rFonts w:ascii="Times New Roman" w:hAnsi="Times New Roman" w:cs="Times New Roman"/>
                <w:i/>
                <w:iCs/>
              </w:rPr>
              <w:t>FI</w:t>
            </w:r>
            <w:r w:rsidRPr="009F456A">
              <w:rPr>
                <w:rFonts w:ascii="Times New Roman" w:hAnsi="Times New Roman" w:cs="Times New Roman"/>
                <w:i/>
                <w:iCs/>
              </w:rPr>
              <w:t xml:space="preserve">CAM is an operational governance framework that, when implemented correctly, forces organizations to answer hard questions about identity lifecycle management. In DoD and federal contexts, FICAM aligns with the DoD Enterprise Identity Services (EIS) strategy and the broader Digital Modernization Strategy. For the practitioner reading this book, FICAM should not be viewed as bureaucratic overhead - it should be viewed as the governance scaffolding that makes </w:t>
            </w:r>
            <w:r w:rsidRPr="009F456A">
              <w:rPr>
                <w:rFonts w:ascii="Times New Roman" w:hAnsi="Times New Roman" w:cs="Times New Roman"/>
                <w:i/>
                <w:iCs/>
              </w:rPr>
              <w:lastRenderedPageBreak/>
              <w:t>technical identity controls defensible during an audit, an inspection, or (worst case) a post-compromise investigation. The Information Systems Security Manager (ISSM) who can demonstrate FICAM-aligned identity governance has a stronger position before an AO than the ISSM who has technical controls but does not know the exact reasons why they're in place, cannot explain how they function or how and why they connect, ultimately failing to explain the governance rationale behind them.</w:t>
            </w:r>
          </w:p>
          <w:p w14:paraId="62BF01A5" w14:textId="77777777" w:rsidR="009F456A" w:rsidRPr="009F456A" w:rsidRDefault="009F456A" w:rsidP="009966D1">
            <w:pPr>
              <w:pStyle w:val="ListParagraph"/>
              <w:ind w:left="375"/>
              <w:rPr>
                <w:rFonts w:ascii="Times New Roman" w:hAnsi="Times New Roman" w:cs="Times New Roman"/>
              </w:rPr>
            </w:pPr>
          </w:p>
        </w:tc>
      </w:tr>
    </w:tbl>
    <w:p w14:paraId="246679F0" w14:textId="1D40FA59" w:rsidR="00B56D90" w:rsidRPr="00B56D90" w:rsidRDefault="00B56D90" w:rsidP="00B56D90">
      <w:pPr>
        <w:pStyle w:val="Heading2"/>
        <w:rPr>
          <w:b/>
          <w:bCs/>
        </w:rPr>
      </w:pPr>
      <w:r w:rsidRPr="00B56D90">
        <w:rPr>
          <w:b/>
          <w:bCs/>
        </w:rPr>
        <w:lastRenderedPageBreak/>
        <w:t>1.6 Zero Trust Architecture (ZTA) and the Elimination of Implicit Trust</w:t>
      </w:r>
    </w:p>
    <w:p w14:paraId="0A60AA75"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Zero Trust is frequently characterized as a commercial product, a localized network architecture, or a marketing abstraction. Within the domain of identity security, its definition is far more precise: it dictates that systemic trust must never be inferred solely because an identity has passed an initial authentication checkpoint, originated from an internal network segment, utilized a domain-joined asset, or maintained membership in a historically trusted security group.</w:t>
      </w:r>
    </w:p>
    <w:p w14:paraId="3977FBCF"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 xml:space="preserve">Zero Trust Architecture (ZTA) fundamentally demands explicit, continuous verification predicated on </w:t>
      </w:r>
      <w:proofErr w:type="gramStart"/>
      <w:r w:rsidRPr="00B56D90">
        <w:rPr>
          <w:rFonts w:ascii="Times New Roman" w:hAnsi="Times New Roman" w:cs="Times New Roman"/>
        </w:rPr>
        <w:t>least-privilege</w:t>
      </w:r>
      <w:proofErr w:type="gramEnd"/>
      <w:r w:rsidRPr="00B56D90">
        <w:rPr>
          <w:rFonts w:ascii="Times New Roman" w:hAnsi="Times New Roman" w:cs="Times New Roman"/>
        </w:rPr>
        <w:t xml:space="preserve"> principles. Operationally, this requires the continuous evaluation of contextual telemetry, enabling dynamic access decisions based on the granular intersection of identity context, device posture, behavioral telemetry, real-time risk scores, privilege mandates, resource sensitivity, and broader mission context.</w:t>
      </w:r>
    </w:p>
    <w:p w14:paraId="4B03FB9B"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Identity serves as the foundational pillar of Zero Trust because every transactional access request originates from a discrete human or non-human entity; however, the framework extends significantly beyond the initial authentication event. Within a strict zero trust model, a valid cryptographic credential or username-password pair is structurally insufficient to grant such unfettered access. Similarly, a valid session token or a recognized hardware endpoint cannot imply absolute trustworthiness. In fact, an overprivileged account often exponentially increases an agencies’ risk and expands the exploitable attack surface rather than mitigating threat vectors.</w:t>
      </w:r>
    </w:p>
    <w:p w14:paraId="72D8471E"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A rigorous Zero Trust methodology introduces more stringent validation metrics at the Policy Decision Point (PDP).</w:t>
      </w:r>
    </w:p>
    <w:p w14:paraId="6E2D339F" w14:textId="77777777" w:rsidR="00B56D90" w:rsidRPr="00B56D90" w:rsidRDefault="00B56D90" w:rsidP="00B56D90">
      <w:pPr>
        <w:rPr>
          <w:rFonts w:ascii="Times New Roman" w:hAnsi="Times New Roman" w:cs="Times New Roman"/>
          <w:b/>
          <w:bCs/>
        </w:rPr>
      </w:pPr>
      <w:r w:rsidRPr="00B56D90">
        <w:rPr>
          <w:rFonts w:ascii="Times New Roman" w:hAnsi="Times New Roman" w:cs="Times New Roman"/>
        </w:rPr>
        <w:t xml:space="preserve">The architecture continuously evaluates the operational state and risk profile of every access request. It systematically assesses whether an identity remains valid, whether the deployed Authenticator Assurance Level (AAL) matches resource criticality, and whether the entity’s transactional behavior aligns with baseline profiles. The architecture also verifies that the originating device is managed and fully compliant with agency configuration standards, that the requested action is contextually appropriate, and that the assigned privileges are strictly necessary for the immediate task. The system must also determine whether the session exhibits elevated risk markers, whether the account attributes have undergone recent modifications, or whether the access path represents an anomalous baseline deviation. Ultimately, this telemetry </w:t>
      </w:r>
      <w:r w:rsidRPr="00B56D90">
        <w:rPr>
          <w:rFonts w:ascii="Times New Roman" w:hAnsi="Times New Roman" w:cs="Times New Roman"/>
        </w:rPr>
        <w:lastRenderedPageBreak/>
        <w:t>dictates whether access should be granted explicitly, challenged via step-up authentication, restricted through scoped access controls, monitored continuously, or terminated immediately.</w:t>
      </w:r>
    </w:p>
    <w:p w14:paraId="57223FFD"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These granular evaluations are critical because adversaries systematically exploit implicit trust to achieve lateral movement and privilege escalation. Threat actors routinely leverage valid but compromised credentials, replay harvested session tokens, traverse trusted administrative protocols, and abuse orphaned or poorly monitored service accounts. By exploiting excessive privilege assignments and structural identity misconfigurations, attackers routinely execute “Living-Off-The-Land” (LOTL) techniques – abusing native operating system administrative tools and features to blend seamlessly into nominal environment traffic. The adversary relies heavily on the identity control plane misidentifying malicious commands as legitimate, authorized actions.</w:t>
      </w:r>
    </w:p>
    <w:p w14:paraId="6E0109EA" w14:textId="5552F99D" w:rsidR="009F456A" w:rsidRDefault="00B56D90" w:rsidP="00EC0E52">
      <w:r w:rsidRPr="00B56D90">
        <w:rPr>
          <w:rFonts w:ascii="Times New Roman" w:hAnsi="Times New Roman" w:cs="Times New Roman"/>
        </w:rPr>
        <w:t>While implementing a Zero Trust framework does not completely eliminate identity-based attack vectors, it fundamentally re-engineers the enterprise defensive posture. It forces the security infrastructure to continuously validate trust thresholds dynamically at the transaction layer, entirely eliminating the concept of permanent, blind, or implicit authorization.</w:t>
      </w:r>
    </w:p>
    <w:p w14:paraId="3429346C" w14:textId="77777777" w:rsidR="00EC0E52" w:rsidRDefault="00EC0E52" w:rsidP="00EC0E52">
      <w:pPr>
        <w:pStyle w:val="ListParagraph"/>
        <w:ind w:left="375"/>
      </w:pPr>
    </w:p>
    <w:tbl>
      <w:tblPr>
        <w:tblStyle w:val="TableGrid"/>
        <w:tblW w:w="0" w:type="auto"/>
        <w:tblInd w:w="375" w:type="dxa"/>
        <w:tblLook w:val="04A0" w:firstRow="1" w:lastRow="0" w:firstColumn="1" w:lastColumn="0" w:noHBand="0" w:noVBand="1"/>
      </w:tblPr>
      <w:tblGrid>
        <w:gridCol w:w="3040"/>
        <w:gridCol w:w="5935"/>
      </w:tblGrid>
      <w:tr w:rsidR="00EC0E52" w14:paraId="70D74003" w14:textId="77777777" w:rsidTr="009966D1">
        <w:tc>
          <w:tcPr>
            <w:tcW w:w="3040" w:type="dxa"/>
            <w:shd w:val="clear" w:color="auto" w:fill="000000" w:themeFill="text1"/>
          </w:tcPr>
          <w:p w14:paraId="2BCCD59F" w14:textId="77777777" w:rsidR="00EC0E52" w:rsidRPr="00EC0E52" w:rsidRDefault="00EC0E52" w:rsidP="009966D1">
            <w:pPr>
              <w:pStyle w:val="ListParagraph"/>
              <w:spacing w:after="160" w:line="278" w:lineRule="auto"/>
              <w:ind w:left="375"/>
              <w:rPr>
                <w:rFonts w:ascii="Times New Roman" w:hAnsi="Times New Roman" w:cs="Times New Roman"/>
                <w:b/>
                <w:bCs/>
                <w:sz w:val="28"/>
                <w:szCs w:val="28"/>
              </w:rPr>
            </w:pPr>
            <w:r w:rsidRPr="00EC0E52">
              <w:rPr>
                <w:rFonts w:ascii="Times New Roman" w:hAnsi="Times New Roman" w:cs="Times New Roman"/>
                <w:b/>
                <w:bCs/>
                <w:color w:val="FFFFFF" w:themeColor="background1"/>
                <w:sz w:val="32"/>
                <w:szCs w:val="32"/>
                <w:shd w:val="clear" w:color="auto" w:fill="000000" w:themeFill="text1"/>
              </w:rPr>
              <w:t>Analytical</w:t>
            </w:r>
            <w:r w:rsidRPr="00EC0E52">
              <w:rPr>
                <w:rFonts w:ascii="Times New Roman" w:hAnsi="Times New Roman" w:cs="Times New Roman"/>
                <w:b/>
                <w:bCs/>
                <w:color w:val="FFFFFF" w:themeColor="background1"/>
                <w:sz w:val="28"/>
                <w:szCs w:val="28"/>
              </w:rPr>
              <w:t xml:space="preserve"> </w:t>
            </w:r>
            <w:r w:rsidRPr="00EC0E52">
              <w:rPr>
                <w:rFonts w:ascii="Times New Roman" w:hAnsi="Times New Roman" w:cs="Times New Roman"/>
                <w:b/>
                <w:bCs/>
                <w:color w:val="FFFFFF" w:themeColor="background1"/>
                <w:sz w:val="32"/>
                <w:szCs w:val="32"/>
              </w:rPr>
              <w:t>Note</w:t>
            </w:r>
          </w:p>
        </w:tc>
        <w:tc>
          <w:tcPr>
            <w:tcW w:w="5935" w:type="dxa"/>
            <w:tcBorders>
              <w:top w:val="nil"/>
              <w:right w:val="nil"/>
            </w:tcBorders>
          </w:tcPr>
          <w:p w14:paraId="6C2C0C0D" w14:textId="77777777" w:rsidR="00EC0E52" w:rsidRPr="002F0BA4" w:rsidRDefault="00EC0E52" w:rsidP="009966D1">
            <w:pPr>
              <w:pStyle w:val="ListParagraph"/>
              <w:ind w:left="375"/>
              <w:rPr>
                <w:b/>
                <w:bCs/>
                <w:sz w:val="28"/>
                <w:szCs w:val="28"/>
              </w:rPr>
            </w:pPr>
          </w:p>
        </w:tc>
      </w:tr>
      <w:tr w:rsidR="00EC0E52" w14:paraId="343C18A6" w14:textId="77777777" w:rsidTr="009966D1">
        <w:tc>
          <w:tcPr>
            <w:tcW w:w="8975" w:type="dxa"/>
            <w:gridSpan w:val="2"/>
          </w:tcPr>
          <w:p w14:paraId="0CBFA582" w14:textId="77777777" w:rsidR="00EC0E52" w:rsidRPr="00EC0E52" w:rsidRDefault="00EC0E52" w:rsidP="009966D1">
            <w:pPr>
              <w:pStyle w:val="ListParagraph"/>
              <w:ind w:left="375"/>
              <w:rPr>
                <w:rFonts w:ascii="Times New Roman" w:hAnsi="Times New Roman" w:cs="Times New Roman"/>
              </w:rPr>
            </w:pPr>
          </w:p>
          <w:p w14:paraId="2F3D2DCA" w14:textId="77777777" w:rsidR="00EC0E52" w:rsidRPr="00EC0E52" w:rsidRDefault="00EC0E52" w:rsidP="009966D1">
            <w:pPr>
              <w:pStyle w:val="ListParagraph"/>
              <w:spacing w:after="160" w:line="278" w:lineRule="auto"/>
              <w:ind w:left="375"/>
              <w:rPr>
                <w:rFonts w:ascii="Times New Roman" w:hAnsi="Times New Roman" w:cs="Times New Roman"/>
                <w:i/>
                <w:iCs/>
              </w:rPr>
            </w:pPr>
            <w:r w:rsidRPr="00EC0E52">
              <w:rPr>
                <w:rFonts w:ascii="Times New Roman" w:hAnsi="Times New Roman" w:cs="Times New Roman"/>
                <w:i/>
                <w:iCs/>
              </w:rPr>
              <w:t>The DoD Zero Trust Strategy (released 2022) and the subsequent DoD Zero Trust Capability Execution Roadmap establish a target state where identity is the primary control plane. For security practitioners involved in federal business, this is not aspirational - it is directive. The seven DoD Zero Trust pillars (User, Device, Application/Workload, Data, Network/Environment, Automation/Orchestration, and Visibility/Analytics) all converge on identity. The "User" pillar is explicitly about identity, but the other six pillars generate the context that informs identity decisions. A Conditional Access policy that evaluates device compliance (Device pillar), application sensitivity (Application/Workload pillar) and data classification (Data pillar) before issuing a token is Zero Trust in practice. The defender who implements Zero Trust as merely "microsegmentation" or "VPN replacement" has missed the point entirely. Zero Trust is an identity-first architecture, and Active Directory (or its hybrid/cloud successors) sits at the center of that architecture in most federal environments.</w:t>
            </w:r>
          </w:p>
          <w:p w14:paraId="591275BF" w14:textId="77777777" w:rsidR="00EC0E52" w:rsidRPr="00EC0E52" w:rsidRDefault="00EC0E52" w:rsidP="009966D1">
            <w:pPr>
              <w:pStyle w:val="ListParagraph"/>
              <w:ind w:left="375"/>
              <w:rPr>
                <w:rFonts w:ascii="Times New Roman" w:hAnsi="Times New Roman" w:cs="Times New Roman"/>
              </w:rPr>
            </w:pPr>
          </w:p>
        </w:tc>
      </w:tr>
    </w:tbl>
    <w:p w14:paraId="497766B7" w14:textId="14DC9A18" w:rsidR="00B56D90" w:rsidRPr="00B56D90" w:rsidRDefault="009F456A" w:rsidP="00B56D90">
      <w:pPr>
        <w:pStyle w:val="Heading2"/>
        <w:rPr>
          <w:b/>
          <w:bCs/>
        </w:rPr>
      </w:pPr>
      <w:r>
        <w:rPr>
          <w:b/>
          <w:bCs/>
        </w:rPr>
        <w:t>1</w:t>
      </w:r>
      <w:r w:rsidR="00B56D90" w:rsidRPr="00B56D90">
        <w:rPr>
          <w:b/>
          <w:bCs/>
        </w:rPr>
        <w:t>.7 The Adversarial Perspective: Identity as a Vector of Operational Legitimacy</w:t>
      </w:r>
    </w:p>
    <w:p w14:paraId="04AC50BA"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A defender cannot architect adequate identity protections without first analyzing the strategic and operational logic of the adversary.</w:t>
      </w:r>
    </w:p>
    <w:p w14:paraId="61A1A5AB"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lastRenderedPageBreak/>
        <w:t>From the adversarial perspective, the primary utility of a compromised identity is the structural legitimacy it confers. Traditional malicious payloads, exploit traffic, and suspicious binaries are highly susceptible to signature-based detection, behavioral blocking, or automated quarantine by modern endpoint controls. Conversely, a valid authentication event executed by a legitimate account routinely bypasses superficial security telemetry, appearing as nominal operational traffic unless the defender possesses deep, contextual visibility into the transaction.</w:t>
      </w:r>
    </w:p>
    <w:p w14:paraId="115D7082"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The adversary systematically enumerates both external and internal identity structures to map potential pathways. They identify organizational personnel hierarchies, email syntax conventions, exposed remote access gateways, public federation endpoints, and cloud tenant configurations. Concurrently, they scan for leaked credential material, highly privileged user accounts, service accounts configured with Service Principal Names (SPNs), and accounts lacking Kerberos pre-authentication. Within the internal boundary, the attacker maps nested security group memberships, misconfigured certificate templates that authorize authentication, and endpoints permitting remote administrative access. Finally, they evaluate cross-domain or cross-forest trust boundaries, identify reusable credential material, analyze which alerts are likely to detonate, and determine which actions will blend seamlessly into baseline operational noise.</w:t>
      </w:r>
    </w:p>
    <w:p w14:paraId="48B1E778"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This structured methodology informs the execution of the identity-centric attack lifecycle.</w:t>
      </w:r>
    </w:p>
    <w:p w14:paraId="6C09C1EE"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The progression of an identity compromise mirrors standard tactical phases: reconnaissance, initial access, privilege escalation, and systemic dominance. Passive reconnaissance identifies publicly exposed identity attributes, while active internal enumeration maps directory objects and their relationships. Initial access campaigns focus on establishing the primary trusted foothold within the perimeter, immediately followed by credential harvesting to collect reusable authentication material. From there, privilege escalation transforms basic access into structural authority, enabling lateral movement across systems and disparate trust boundaries. Finally, persistence mechanisms are established to preserve access over time, culminating in domain dominance – the absolute compromise of the identity control plane itself.</w:t>
      </w:r>
    </w:p>
    <w:p w14:paraId="4D61B169"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Every phase of this operational lifecycle relies fundamentally on the subversion of the identity infrastructure.</w:t>
      </w:r>
    </w:p>
    <w:p w14:paraId="37DFDCFD"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 xml:space="preserve">Accordingly, the defender’s objective is not the superficial memorization of isolated attack techniques, but rather a structural understanding of adversarial tradecraft. If a threat actor seeks credential harvesting, the defender must understand exactly where credential material resides in memory and on disk. If </w:t>
      </w:r>
      <w:proofErr w:type="gramStart"/>
      <w:r w:rsidRPr="00B56D90">
        <w:rPr>
          <w:rFonts w:ascii="Times New Roman" w:hAnsi="Times New Roman" w:cs="Times New Roman"/>
        </w:rPr>
        <w:t>an actor attempts</w:t>
      </w:r>
      <w:proofErr w:type="gramEnd"/>
      <w:r w:rsidRPr="00B56D90">
        <w:rPr>
          <w:rFonts w:ascii="Times New Roman" w:hAnsi="Times New Roman" w:cs="Times New Roman"/>
        </w:rPr>
        <w:t xml:space="preserve"> privilege escalation, the defender must map how privilege is delegated and inherited across the directory. If lateral movement is the objective, the defender must also know which identities possess remote execution rights. Lastly, if the adversary seeks stealthy persistence, the defender must understand where directory trust relationships can be covertly manipulated.</w:t>
      </w:r>
    </w:p>
    <w:p w14:paraId="4F34B97B" w14:textId="2C99AAE1" w:rsidR="00B56D90" w:rsidRDefault="00B56D90" w:rsidP="00B56D90">
      <w:pPr>
        <w:rPr>
          <w:rFonts w:ascii="Times New Roman" w:hAnsi="Times New Roman" w:cs="Times New Roman"/>
        </w:rPr>
      </w:pPr>
      <w:r w:rsidRPr="00B56D90">
        <w:rPr>
          <w:rFonts w:ascii="Times New Roman" w:hAnsi="Times New Roman" w:cs="Times New Roman"/>
        </w:rPr>
        <w:lastRenderedPageBreak/>
        <w:t>This reality necessitates the integration of offensive security concepts throughout this text. These methodologies are not detailed to encourage unauthorized exploitation, but rather to ensure that defenders fully comprehend adversarial reasoning and tradecraft. Without this strategic insight, security practitioners are reduced to defending by checkbox compliance rather than engineering resilient, proactive defenses.</w:t>
      </w:r>
    </w:p>
    <w:p w14:paraId="3361EF29" w14:textId="77777777" w:rsidR="00091E87" w:rsidRDefault="00091E87" w:rsidP="00B56D90">
      <w:pPr>
        <w:rPr>
          <w:rFonts w:ascii="Times New Roman" w:hAnsi="Times New Roman" w:cs="Times New Roman"/>
        </w:rPr>
      </w:pPr>
    </w:p>
    <w:tbl>
      <w:tblPr>
        <w:tblStyle w:val="TableGrid"/>
        <w:tblW w:w="0" w:type="auto"/>
        <w:tblInd w:w="375" w:type="dxa"/>
        <w:tblLook w:val="04A0" w:firstRow="1" w:lastRow="0" w:firstColumn="1" w:lastColumn="0" w:noHBand="0" w:noVBand="1"/>
      </w:tblPr>
      <w:tblGrid>
        <w:gridCol w:w="3040"/>
        <w:gridCol w:w="5935"/>
      </w:tblGrid>
      <w:tr w:rsidR="00091E87" w:rsidRPr="00091E87" w14:paraId="52BAE8E5" w14:textId="77777777" w:rsidTr="009966D1">
        <w:tc>
          <w:tcPr>
            <w:tcW w:w="3040" w:type="dxa"/>
            <w:shd w:val="clear" w:color="auto" w:fill="000000" w:themeFill="text1"/>
          </w:tcPr>
          <w:p w14:paraId="797F5D07" w14:textId="77777777" w:rsidR="00091E87" w:rsidRPr="00091E87" w:rsidRDefault="00091E87" w:rsidP="009966D1">
            <w:pPr>
              <w:pStyle w:val="ListParagraph"/>
              <w:spacing w:after="160" w:line="278" w:lineRule="auto"/>
              <w:ind w:left="375"/>
              <w:rPr>
                <w:rFonts w:ascii="Times New Roman" w:hAnsi="Times New Roman" w:cs="Times New Roman"/>
                <w:b/>
                <w:bCs/>
                <w:sz w:val="28"/>
                <w:szCs w:val="28"/>
              </w:rPr>
            </w:pPr>
            <w:r w:rsidRPr="00091E87">
              <w:rPr>
                <w:rFonts w:ascii="Times New Roman" w:hAnsi="Times New Roman" w:cs="Times New Roman"/>
                <w:b/>
                <w:bCs/>
                <w:color w:val="FFFFFF" w:themeColor="background1"/>
                <w:sz w:val="32"/>
                <w:szCs w:val="32"/>
                <w:shd w:val="clear" w:color="auto" w:fill="000000" w:themeFill="text1"/>
              </w:rPr>
              <w:t>Analytical</w:t>
            </w:r>
            <w:r w:rsidRPr="00091E87">
              <w:rPr>
                <w:rFonts w:ascii="Times New Roman" w:hAnsi="Times New Roman" w:cs="Times New Roman"/>
                <w:b/>
                <w:bCs/>
                <w:color w:val="FFFFFF" w:themeColor="background1"/>
                <w:sz w:val="28"/>
                <w:szCs w:val="28"/>
              </w:rPr>
              <w:t xml:space="preserve"> </w:t>
            </w:r>
            <w:r w:rsidRPr="00091E87">
              <w:rPr>
                <w:rFonts w:ascii="Times New Roman" w:hAnsi="Times New Roman" w:cs="Times New Roman"/>
                <w:b/>
                <w:bCs/>
                <w:color w:val="FFFFFF" w:themeColor="background1"/>
                <w:sz w:val="32"/>
                <w:szCs w:val="32"/>
              </w:rPr>
              <w:t>Note</w:t>
            </w:r>
          </w:p>
        </w:tc>
        <w:tc>
          <w:tcPr>
            <w:tcW w:w="5935" w:type="dxa"/>
            <w:tcBorders>
              <w:top w:val="nil"/>
              <w:right w:val="nil"/>
            </w:tcBorders>
          </w:tcPr>
          <w:p w14:paraId="2620C88F" w14:textId="77777777" w:rsidR="00091E87" w:rsidRPr="00091E87" w:rsidRDefault="00091E87" w:rsidP="009966D1">
            <w:pPr>
              <w:pStyle w:val="ListParagraph"/>
              <w:ind w:left="375"/>
              <w:rPr>
                <w:rFonts w:ascii="Times New Roman" w:hAnsi="Times New Roman" w:cs="Times New Roman"/>
                <w:b/>
                <w:bCs/>
                <w:sz w:val="28"/>
                <w:szCs w:val="28"/>
              </w:rPr>
            </w:pPr>
          </w:p>
        </w:tc>
      </w:tr>
      <w:tr w:rsidR="00091E87" w:rsidRPr="00091E87" w14:paraId="4DDEF2AA" w14:textId="77777777" w:rsidTr="009966D1">
        <w:tc>
          <w:tcPr>
            <w:tcW w:w="8975" w:type="dxa"/>
            <w:gridSpan w:val="2"/>
          </w:tcPr>
          <w:p w14:paraId="678575F3" w14:textId="77777777" w:rsidR="00091E87" w:rsidRPr="00091E87" w:rsidRDefault="00091E87" w:rsidP="009966D1">
            <w:pPr>
              <w:pStyle w:val="ListParagraph"/>
              <w:ind w:left="375"/>
              <w:rPr>
                <w:rFonts w:ascii="Times New Roman" w:hAnsi="Times New Roman" w:cs="Times New Roman"/>
              </w:rPr>
            </w:pPr>
          </w:p>
          <w:p w14:paraId="060AE68A" w14:textId="77777777" w:rsidR="00091E87" w:rsidRPr="00091E87" w:rsidRDefault="00091E87" w:rsidP="009966D1">
            <w:pPr>
              <w:pStyle w:val="ListParagraph"/>
              <w:ind w:left="375"/>
              <w:rPr>
                <w:rFonts w:ascii="Times New Roman" w:hAnsi="Times New Roman" w:cs="Times New Roman"/>
                <w:i/>
                <w:iCs/>
              </w:rPr>
            </w:pPr>
            <w:r w:rsidRPr="00091E87">
              <w:rPr>
                <w:rFonts w:ascii="Times New Roman" w:hAnsi="Times New Roman" w:cs="Times New Roman"/>
                <w:i/>
                <w:iCs/>
              </w:rPr>
              <w:t>The “defend by checklist” critique is worth expanding upon. In DoD and federal environments, compliance-driven security (Security Technical Implementation Guides (STIGs), Secure Content Automation Protocol (SCAP), Risk Management Framework (RMF) controls) is necessary but insufficient. An adversary with nation-state resources does not care whether your domain controllers are STIG-compliant if they can forge a Golden Ticket. The checklist tells you what controls should exist; tradecraft understanding tells you whether those controls work against a thinking adversary. This is why red team operations, Breach and Adversarial Simulation (BAS), MITRE ATT&amp;CK, and purple team exercises are increasingly mandated in federal environments – they force the defender to move beyond compliance and into operational validation. The defender who knows why Kerberoasting works (Service Principal Names (SPNs) + weak service account passwords + no monitoring) can design controls that can outright stop it, rather than just checking a box that says, “service account passwords are complex.”</w:t>
            </w:r>
          </w:p>
          <w:p w14:paraId="6B3AE7E3" w14:textId="77777777" w:rsidR="00091E87" w:rsidRPr="00091E87" w:rsidRDefault="00091E87" w:rsidP="009966D1">
            <w:pPr>
              <w:pStyle w:val="ListParagraph"/>
              <w:ind w:left="375"/>
              <w:rPr>
                <w:rFonts w:ascii="Times New Roman" w:hAnsi="Times New Roman" w:cs="Times New Roman"/>
              </w:rPr>
            </w:pPr>
          </w:p>
        </w:tc>
      </w:tr>
    </w:tbl>
    <w:p w14:paraId="759BEA7B" w14:textId="77777777" w:rsidR="00091E87" w:rsidRPr="00B56D90" w:rsidRDefault="00091E87" w:rsidP="00B56D90">
      <w:pPr>
        <w:rPr>
          <w:rFonts w:ascii="Times New Roman" w:hAnsi="Times New Roman" w:cs="Times New Roman"/>
        </w:rPr>
      </w:pPr>
    </w:p>
    <w:p w14:paraId="3DACB4EA" w14:textId="213BD7AA" w:rsidR="00B56D90" w:rsidRPr="00B56D90" w:rsidRDefault="00B56D90" w:rsidP="00B56D90">
      <w:pPr>
        <w:pStyle w:val="Heading2"/>
        <w:rPr>
          <w:b/>
          <w:bCs/>
        </w:rPr>
      </w:pPr>
      <w:r w:rsidRPr="00B56D90">
        <w:rPr>
          <w:b/>
          <w:bCs/>
        </w:rPr>
        <w:t xml:space="preserve">1.8 </w:t>
      </w:r>
      <w:r w:rsidRPr="00B56D90">
        <w:rPr>
          <w:b/>
          <w:bCs/>
        </w:rPr>
        <w:t>The Defensive Paradigm: Identity Security Engineering and Mission-Aligned Risk</w:t>
      </w:r>
    </w:p>
    <w:p w14:paraId="25A53FCA"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The strategic scope of the defender must inherently exceed that of the adversary. While an attacker requires only a single viable execution path to achieve exploitation, the defender must secure a vast landscape of both known and unmapped attack vectors while maintaining holistic situational awareness of the entire identity ecosystem.</w:t>
      </w:r>
    </w:p>
    <w:p w14:paraId="4F8CE67F" w14:textId="7FBCCC53" w:rsidR="00B56D90" w:rsidRPr="00B56D90" w:rsidRDefault="00B56D90" w:rsidP="00B56D90">
      <w:pPr>
        <w:rPr>
          <w:rFonts w:ascii="Times New Roman" w:hAnsi="Times New Roman" w:cs="Times New Roman"/>
        </w:rPr>
      </w:pPr>
      <w:r w:rsidRPr="00B56D90">
        <w:rPr>
          <w:rFonts w:ascii="Times New Roman" w:hAnsi="Times New Roman" w:cs="Times New Roman"/>
        </w:rPr>
        <w:t xml:space="preserve">Comprehensive defense demands an exhaustive inventory of the enterprise identity state. Practitioners must accurately catalog existing directory objects, validate credential materials, and identify authoritative trust-issuing authorities. This requires mapping privileged accounts, isolating services dependent on legacy authentication or NTLM fallback protocols, and tracking administrative accounts that cross designated security tiers. Defenders must audit authenticating digital certificates, actively monitor federation pathways, prune overprivileged cloud Identity and Access Management (IAM) roles, and identity ownerless service accounts. At the directory structure layer, this involves such activities like auditing nested security groups across Organizational Units (OUs), managing log generation pipelines, triaging high-fidelity alerts, and </w:t>
      </w:r>
      <w:r w:rsidRPr="00B56D90">
        <w:rPr>
          <w:rFonts w:ascii="Times New Roman" w:hAnsi="Times New Roman" w:cs="Times New Roman"/>
        </w:rPr>
        <w:lastRenderedPageBreak/>
        <w:t>orchestrating rapid disaster recovery workflows should the primary trust architecture suffer a catastrophic failure.</w:t>
      </w:r>
    </w:p>
    <w:p w14:paraId="6B73863A"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Achieving this level of visibility is exceptionally complex, and not always realistically achievable, as production environments are rarely structurally pristine. Real-world directory architectures are typically inherited legacy systems that have absorbed successive corporate acquisitions, agency-wide restructures, cloud migrations, and contractor transitions.  They are often burdened by emergency modifications, legacy application dependencies, mission-driven policy exceptions, and temporary access configurations that inadvertently became permanent. Consequently, network diagrams become obsolete, documentation undergoes severe configuration drift, and asset ownership blurs until regulatory compliance audits mandate remediation. Simultaneously, operational personnel rotate, and security tools are frequently deployed without ever being fully understood (e.g., no one understands their purpose or function) or integrated into daily operations.</w:t>
      </w:r>
    </w:p>
    <w:p w14:paraId="49F15515"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To counteract this compounding operational debt, defenders must transition from passive administration to the discipline of identity security engineering.</w:t>
      </w:r>
    </w:p>
    <w:p w14:paraId="4A59E3C4"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Identity security engineering treats the identity infrastructure as a unified, security-critical control plane. This discipline dictates that Active Directory, Microsoft Entra ID, Active Directory Certificate Services (AD CS), federation gateways, privileged access tiers, service accounts, and machine identities be engineered with the same rigor as critical physical infrastructure. It shifts the defensive metric from the mere existence of a security control to its operational efficacy. Rather than relying on perfunctory quarterly compliance reviews, identity security engineering demands near-continuous validation of security baselines. This operational routine includes the proactive, programmatic reduction of administrative privileges—utilizing automated PowerShell scripting or targeted administrative container reviews—alongside the continuous monitoring of cross-boundary trust, the detection of credential abuse, and the pre-emptive formulation of recovery strategies.</w:t>
      </w:r>
    </w:p>
    <w:p w14:paraId="56C09648" w14:textId="35D15DF5" w:rsidR="00B56D90" w:rsidRDefault="00B56D90" w:rsidP="00B56D90">
      <w:pPr>
        <w:rPr>
          <w:rFonts w:ascii="Times New Roman" w:hAnsi="Times New Roman" w:cs="Times New Roman"/>
        </w:rPr>
      </w:pPr>
      <w:r w:rsidRPr="00B56D90">
        <w:rPr>
          <w:rFonts w:ascii="Times New Roman" w:hAnsi="Times New Roman" w:cs="Times New Roman"/>
        </w:rPr>
        <w:t>Finally, technical practitioners must articulate identity risks using the language of mission impact and operational consequence. Technical findings framed abstractly—such as stating that "excessive delegation exists on an application service account"—frequently fail to secure executive sponsorship or resource allocation. Conversely, translating the vulnerability into operational risk provides the necessary clarity for leadership: "A compromise of this specific service account grants an adversary unauthorized, unauthenticated control over core administrative infrastructure and mission-critical authentication pathways." To drive meaningful organizational change, technical identity risk must always be communicated through the lens of systemic operational consequence.</w:t>
      </w:r>
    </w:p>
    <w:p w14:paraId="7761FFE9" w14:textId="77777777" w:rsidR="00091E87" w:rsidRPr="00091E87" w:rsidRDefault="00091E87" w:rsidP="00091E87">
      <w:pPr>
        <w:pStyle w:val="ListParagraph"/>
        <w:ind w:left="375"/>
        <w:rPr>
          <w:rFonts w:ascii="Times New Roman" w:hAnsi="Times New Roman" w:cs="Times New Roman"/>
        </w:rPr>
      </w:pPr>
    </w:p>
    <w:tbl>
      <w:tblPr>
        <w:tblStyle w:val="TableGrid"/>
        <w:tblW w:w="0" w:type="auto"/>
        <w:tblInd w:w="375" w:type="dxa"/>
        <w:tblLook w:val="04A0" w:firstRow="1" w:lastRow="0" w:firstColumn="1" w:lastColumn="0" w:noHBand="0" w:noVBand="1"/>
      </w:tblPr>
      <w:tblGrid>
        <w:gridCol w:w="3040"/>
        <w:gridCol w:w="5935"/>
      </w:tblGrid>
      <w:tr w:rsidR="00091E87" w:rsidRPr="00091E87" w14:paraId="2901CF99" w14:textId="77777777" w:rsidTr="009966D1">
        <w:tc>
          <w:tcPr>
            <w:tcW w:w="3040" w:type="dxa"/>
            <w:shd w:val="clear" w:color="auto" w:fill="000000" w:themeFill="text1"/>
          </w:tcPr>
          <w:p w14:paraId="05A37CFE" w14:textId="77777777" w:rsidR="00091E87" w:rsidRPr="00091E87" w:rsidRDefault="00091E87" w:rsidP="009966D1">
            <w:pPr>
              <w:pStyle w:val="ListParagraph"/>
              <w:spacing w:after="160" w:line="278" w:lineRule="auto"/>
              <w:ind w:left="375"/>
              <w:rPr>
                <w:rFonts w:ascii="Times New Roman" w:hAnsi="Times New Roman" w:cs="Times New Roman"/>
                <w:b/>
                <w:bCs/>
                <w:sz w:val="28"/>
                <w:szCs w:val="28"/>
              </w:rPr>
            </w:pPr>
            <w:r w:rsidRPr="00091E87">
              <w:rPr>
                <w:rFonts w:ascii="Times New Roman" w:hAnsi="Times New Roman" w:cs="Times New Roman"/>
                <w:b/>
                <w:bCs/>
                <w:color w:val="FFFFFF" w:themeColor="background1"/>
                <w:sz w:val="32"/>
                <w:szCs w:val="32"/>
                <w:shd w:val="clear" w:color="auto" w:fill="000000" w:themeFill="text1"/>
              </w:rPr>
              <w:t>Analytical</w:t>
            </w:r>
            <w:r w:rsidRPr="00091E87">
              <w:rPr>
                <w:rFonts w:ascii="Times New Roman" w:hAnsi="Times New Roman" w:cs="Times New Roman"/>
                <w:b/>
                <w:bCs/>
                <w:color w:val="FFFFFF" w:themeColor="background1"/>
                <w:sz w:val="28"/>
                <w:szCs w:val="28"/>
              </w:rPr>
              <w:t xml:space="preserve"> </w:t>
            </w:r>
            <w:r w:rsidRPr="00091E87">
              <w:rPr>
                <w:rFonts w:ascii="Times New Roman" w:hAnsi="Times New Roman" w:cs="Times New Roman"/>
                <w:b/>
                <w:bCs/>
                <w:color w:val="FFFFFF" w:themeColor="background1"/>
                <w:sz w:val="32"/>
                <w:szCs w:val="32"/>
              </w:rPr>
              <w:t>Note</w:t>
            </w:r>
          </w:p>
        </w:tc>
        <w:tc>
          <w:tcPr>
            <w:tcW w:w="5935" w:type="dxa"/>
            <w:tcBorders>
              <w:top w:val="nil"/>
              <w:right w:val="nil"/>
            </w:tcBorders>
          </w:tcPr>
          <w:p w14:paraId="6BFECCC0" w14:textId="77777777" w:rsidR="00091E87" w:rsidRPr="00091E87" w:rsidRDefault="00091E87" w:rsidP="009966D1">
            <w:pPr>
              <w:pStyle w:val="ListParagraph"/>
              <w:ind w:left="375"/>
              <w:rPr>
                <w:rFonts w:ascii="Times New Roman" w:hAnsi="Times New Roman" w:cs="Times New Roman"/>
                <w:b/>
                <w:bCs/>
                <w:sz w:val="28"/>
                <w:szCs w:val="28"/>
              </w:rPr>
            </w:pPr>
          </w:p>
        </w:tc>
      </w:tr>
      <w:tr w:rsidR="00091E87" w:rsidRPr="00091E87" w14:paraId="23F175E8" w14:textId="77777777" w:rsidTr="009966D1">
        <w:tc>
          <w:tcPr>
            <w:tcW w:w="8975" w:type="dxa"/>
            <w:gridSpan w:val="2"/>
          </w:tcPr>
          <w:p w14:paraId="4585DF26" w14:textId="77777777" w:rsidR="00091E87" w:rsidRPr="00091E87" w:rsidRDefault="00091E87" w:rsidP="009966D1">
            <w:pPr>
              <w:pStyle w:val="ListParagraph"/>
              <w:ind w:left="375"/>
              <w:rPr>
                <w:rFonts w:ascii="Times New Roman" w:hAnsi="Times New Roman" w:cs="Times New Roman"/>
              </w:rPr>
            </w:pPr>
          </w:p>
          <w:p w14:paraId="3BCE81FB" w14:textId="77777777" w:rsidR="00091E87" w:rsidRPr="00091E87" w:rsidRDefault="00091E87" w:rsidP="009966D1">
            <w:pPr>
              <w:pStyle w:val="ListParagraph"/>
              <w:ind w:left="375"/>
              <w:rPr>
                <w:rFonts w:ascii="Times New Roman" w:hAnsi="Times New Roman" w:cs="Times New Roman"/>
                <w:i/>
                <w:iCs/>
              </w:rPr>
            </w:pPr>
            <w:r w:rsidRPr="00091E87">
              <w:rPr>
                <w:rFonts w:ascii="Times New Roman" w:hAnsi="Times New Roman" w:cs="Times New Roman"/>
                <w:i/>
                <w:iCs/>
              </w:rPr>
              <w:t>The communication gap between technical identity findings and mission leadership is one of the most persistent problems in federal and military security. An Information Systems Security Officer (ISSO) who reports “a compromised service account with excessive SPNs could allow an adversary to forge Kerberos tickets and gain domain-wide administrative access, potentially affecting all mission systems under this ATO boundary” will get resources, attention, and a timeline. The difference is mission translation. In DoD terms, this is about connecting identity risk to operational risk – something the RMF explicitly requires but many practitioners struggle to articulate. The identity security engineer who can speak both technical and operational languages is exponentially more effective than the one who speaks only technical.</w:t>
            </w:r>
          </w:p>
          <w:p w14:paraId="7C5D5777" w14:textId="77777777" w:rsidR="00091E87" w:rsidRPr="00091E87" w:rsidRDefault="00091E87" w:rsidP="009966D1">
            <w:pPr>
              <w:pStyle w:val="ListParagraph"/>
              <w:ind w:left="375"/>
              <w:rPr>
                <w:rFonts w:ascii="Times New Roman" w:hAnsi="Times New Roman" w:cs="Times New Roman"/>
              </w:rPr>
            </w:pPr>
          </w:p>
        </w:tc>
      </w:tr>
    </w:tbl>
    <w:p w14:paraId="2BACBCC6" w14:textId="4C9A84C3" w:rsidR="00B56D90" w:rsidRPr="00B56D90" w:rsidRDefault="00B56D90" w:rsidP="00B56D90">
      <w:pPr>
        <w:pStyle w:val="Heading2"/>
        <w:rPr>
          <w:b/>
          <w:bCs/>
        </w:rPr>
      </w:pPr>
      <w:r w:rsidRPr="00B56D90">
        <w:rPr>
          <w:b/>
          <w:bCs/>
        </w:rPr>
        <w:t>1.9 Federal and Department of Defense (DoD) Operational Reality</w:t>
      </w:r>
    </w:p>
    <w:p w14:paraId="39569CA5" w14:textId="77777777" w:rsidR="00B56D90" w:rsidRDefault="00B56D90" w:rsidP="00B56D90">
      <w:pPr>
        <w:rPr>
          <w:rFonts w:ascii="Times New Roman" w:hAnsi="Times New Roman" w:cs="Times New Roman"/>
        </w:rPr>
      </w:pPr>
      <w:r w:rsidRPr="00B56D90">
        <w:rPr>
          <w:rFonts w:ascii="Times New Roman" w:hAnsi="Times New Roman" w:cs="Times New Roman"/>
        </w:rPr>
        <w:t>Federal and defense information systems operate across distinctly separated security domains, most notably the Non-Classified Internet Protocol Router Network (NIPRNet) and the Secret Internet Protocol Router Network (SIPRNet). Within these command environments, both NIPRNet and SIPRNet topologies host mission-sensitive enclaves, contractor-operated systems, legacy application dependencies, and complex Cross-Domain Solutions (CDS). Managing these environments requires continuous orchestration across a diverse matrix of stakeholders—including coalition mission partners, Authorizing Officials (AOs), Information Systems Security Officers (ISSOs), Information Systems Security Managers (ISSMs), and Cybersecurity Service Providers (CSSPs)—across independent military service components, Defense Agencies, and Combatant Commands</w:t>
      </w:r>
      <w:r>
        <w:rPr>
          <w:rFonts w:ascii="Times New Roman" w:hAnsi="Times New Roman" w:cs="Times New Roman"/>
        </w:rPr>
        <w:t>.</w:t>
      </w:r>
    </w:p>
    <w:p w14:paraId="1CD2CDE0" w14:textId="4AC4476C" w:rsidR="00B56D90" w:rsidRPr="00B56D90" w:rsidRDefault="00B56D90" w:rsidP="00B56D90">
      <w:pPr>
        <w:rPr>
          <w:rFonts w:ascii="Times New Roman" w:hAnsi="Times New Roman" w:cs="Times New Roman"/>
        </w:rPr>
      </w:pPr>
      <w:r w:rsidRPr="00B56D90">
        <w:rPr>
          <w:rFonts w:ascii="Times New Roman" w:hAnsi="Times New Roman" w:cs="Times New Roman"/>
        </w:rPr>
        <w:t>Within this landscape, localized modifications to authentication mechanisms, cryptographic certificates, service accounts, federation trusts, or privileged access paths can immediately degrade the confidentiality, integrity, and availability of the Confidentiality, Integrity, and Availability (CIA) triad. Consequently, security hardening may be technically valid yet operationally catastrophic if you execute it absent meticulous strategic planning.</w:t>
      </w:r>
    </w:p>
    <w:p w14:paraId="5E30CAF6"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This operational friction underscores why identity security engineering cannot be decoupled from overall mission assurance.</w:t>
      </w:r>
    </w:p>
    <w:p w14:paraId="10E72F3D"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 xml:space="preserve">Enforcing security baselines blindly within a complex infrastructure introduces severe operational risk. For example, automating a password rotation policy will break mission-critical applications if the underlying service account dependencies remain undocumented. Similarly, executing a premature certificate revocation can instantly disrupt authentication pipelines if downstream dependencies are unmapped, and mismanaging a Kerberos ticket-granting service account (krbtgt) password reset will destabilize Kerberos ticketing lifetimes across the forest. At the policy enforcement layer, modifying a cloud-native Conditional Access policy may inadvertently block mission-essential personnel if your endpoint configuration state assumptions are incorrect. The altering a federation trust boundary can fracture external coalition partner </w:t>
      </w:r>
      <w:r w:rsidRPr="00B56D90">
        <w:rPr>
          <w:rFonts w:ascii="Times New Roman" w:hAnsi="Times New Roman" w:cs="Times New Roman"/>
        </w:rPr>
        <w:lastRenderedPageBreak/>
        <w:t>access, and deleting an orphaned administrative account can trigger systemic operational outages if that identity was silently executing legacy scheduled tasks.</w:t>
      </w:r>
    </w:p>
    <w:p w14:paraId="100BF1E8" w14:textId="77777777" w:rsidR="00B56D90" w:rsidRPr="00B56D90" w:rsidRDefault="00B56D90" w:rsidP="00B56D90">
      <w:pPr>
        <w:rPr>
          <w:rFonts w:ascii="Times New Roman" w:hAnsi="Times New Roman" w:cs="Times New Roman"/>
        </w:rPr>
      </w:pPr>
      <w:r w:rsidRPr="00B56D90">
        <w:rPr>
          <w:rFonts w:ascii="Times New Roman" w:hAnsi="Times New Roman" w:cs="Times New Roman"/>
        </w:rPr>
        <w:t>None of these operational realities justify a weak security posture; instead, they dictate that mature identity security requires rigorous engineering discipline.</w:t>
      </w:r>
    </w:p>
    <w:p w14:paraId="42B53D40" w14:textId="2AFAC58E" w:rsidR="00B56D90" w:rsidRPr="009F456A" w:rsidRDefault="00B56D90" w:rsidP="009F456A">
      <w:pPr>
        <w:rPr>
          <w:rFonts w:ascii="Times New Roman" w:hAnsi="Times New Roman" w:cs="Times New Roman"/>
        </w:rPr>
      </w:pPr>
      <w:r w:rsidRPr="00B56D90">
        <w:rPr>
          <w:rFonts w:ascii="Times New Roman" w:hAnsi="Times New Roman" w:cs="Times New Roman"/>
        </w:rPr>
        <w:t>Defenders must mitigate risk through systematic documentation, Strategic Security Testing and Evaluation (SST&amp;E), inter-agency coordination, and seasoned operational judgment. As a federal identity defender, you must operate precisely in the intersection between technical risk mitigation and mission continuity. Your objective is not to stall configuration changes under the assumption that operational modification is inherently disruptive. Rather, your mandate is to analyze your surrounding architecture deeply enough to anticipate where architectural changes are viable, allowing you to execute those security enhancements safely, securely, and deterministically.</w:t>
      </w:r>
    </w:p>
    <w:p w14:paraId="6E68CDF2" w14:textId="77777777" w:rsidR="00091E87" w:rsidRDefault="00091E87" w:rsidP="00091E87">
      <w:pPr>
        <w:pStyle w:val="ListParagraph"/>
        <w:ind w:left="375"/>
      </w:pPr>
    </w:p>
    <w:tbl>
      <w:tblPr>
        <w:tblStyle w:val="TableGrid"/>
        <w:tblW w:w="0" w:type="auto"/>
        <w:tblInd w:w="375" w:type="dxa"/>
        <w:tblLook w:val="04A0" w:firstRow="1" w:lastRow="0" w:firstColumn="1" w:lastColumn="0" w:noHBand="0" w:noVBand="1"/>
      </w:tblPr>
      <w:tblGrid>
        <w:gridCol w:w="3040"/>
        <w:gridCol w:w="5935"/>
      </w:tblGrid>
      <w:tr w:rsidR="00091E87" w:rsidRPr="00091E87" w14:paraId="5B272500" w14:textId="77777777" w:rsidTr="009966D1">
        <w:tc>
          <w:tcPr>
            <w:tcW w:w="3040" w:type="dxa"/>
            <w:shd w:val="clear" w:color="auto" w:fill="000000" w:themeFill="text1"/>
          </w:tcPr>
          <w:p w14:paraId="45B1AFB4" w14:textId="77777777" w:rsidR="00091E87" w:rsidRPr="00091E87" w:rsidRDefault="00091E87" w:rsidP="009966D1">
            <w:pPr>
              <w:pStyle w:val="ListParagraph"/>
              <w:spacing w:after="160" w:line="278" w:lineRule="auto"/>
              <w:ind w:left="375"/>
              <w:rPr>
                <w:rFonts w:ascii="Times New Roman" w:hAnsi="Times New Roman" w:cs="Times New Roman"/>
                <w:b/>
                <w:bCs/>
                <w:sz w:val="28"/>
                <w:szCs w:val="28"/>
              </w:rPr>
            </w:pPr>
            <w:r w:rsidRPr="00091E87">
              <w:rPr>
                <w:rFonts w:ascii="Times New Roman" w:hAnsi="Times New Roman" w:cs="Times New Roman"/>
                <w:b/>
                <w:bCs/>
                <w:color w:val="FFFFFF" w:themeColor="background1"/>
                <w:sz w:val="32"/>
                <w:szCs w:val="32"/>
                <w:shd w:val="clear" w:color="auto" w:fill="000000" w:themeFill="text1"/>
              </w:rPr>
              <w:t>Analytical</w:t>
            </w:r>
            <w:r w:rsidRPr="00091E87">
              <w:rPr>
                <w:rFonts w:ascii="Times New Roman" w:hAnsi="Times New Roman" w:cs="Times New Roman"/>
                <w:b/>
                <w:bCs/>
                <w:color w:val="FFFFFF" w:themeColor="background1"/>
                <w:sz w:val="28"/>
                <w:szCs w:val="28"/>
              </w:rPr>
              <w:t xml:space="preserve"> </w:t>
            </w:r>
            <w:r w:rsidRPr="00091E87">
              <w:rPr>
                <w:rFonts w:ascii="Times New Roman" w:hAnsi="Times New Roman" w:cs="Times New Roman"/>
                <w:b/>
                <w:bCs/>
                <w:color w:val="FFFFFF" w:themeColor="background1"/>
                <w:sz w:val="32"/>
                <w:szCs w:val="32"/>
              </w:rPr>
              <w:t>Note</w:t>
            </w:r>
          </w:p>
        </w:tc>
        <w:tc>
          <w:tcPr>
            <w:tcW w:w="5935" w:type="dxa"/>
            <w:tcBorders>
              <w:top w:val="nil"/>
              <w:right w:val="nil"/>
            </w:tcBorders>
          </w:tcPr>
          <w:p w14:paraId="4CAE70B8" w14:textId="77777777" w:rsidR="00091E87" w:rsidRPr="00091E87" w:rsidRDefault="00091E87" w:rsidP="009966D1">
            <w:pPr>
              <w:pStyle w:val="ListParagraph"/>
              <w:ind w:left="375"/>
              <w:rPr>
                <w:rFonts w:ascii="Times New Roman" w:hAnsi="Times New Roman" w:cs="Times New Roman"/>
                <w:b/>
                <w:bCs/>
                <w:sz w:val="28"/>
                <w:szCs w:val="28"/>
              </w:rPr>
            </w:pPr>
          </w:p>
        </w:tc>
      </w:tr>
      <w:tr w:rsidR="00091E87" w:rsidRPr="00091E87" w14:paraId="7CEA8486" w14:textId="77777777" w:rsidTr="009966D1">
        <w:tc>
          <w:tcPr>
            <w:tcW w:w="8975" w:type="dxa"/>
            <w:gridSpan w:val="2"/>
          </w:tcPr>
          <w:p w14:paraId="07C348E5" w14:textId="77777777" w:rsidR="00091E87" w:rsidRPr="00091E87" w:rsidRDefault="00091E87" w:rsidP="009966D1">
            <w:pPr>
              <w:pStyle w:val="ListParagraph"/>
              <w:ind w:left="375"/>
              <w:rPr>
                <w:rFonts w:ascii="Times New Roman" w:hAnsi="Times New Roman" w:cs="Times New Roman"/>
                <w:i/>
                <w:iCs/>
              </w:rPr>
            </w:pPr>
          </w:p>
          <w:p w14:paraId="69D02F23" w14:textId="77777777" w:rsidR="00091E87" w:rsidRPr="00091E87" w:rsidRDefault="00091E87" w:rsidP="009966D1">
            <w:pPr>
              <w:pStyle w:val="ListParagraph"/>
              <w:rPr>
                <w:rFonts w:ascii="Times New Roman" w:hAnsi="Times New Roman" w:cs="Times New Roman"/>
                <w:i/>
                <w:iCs/>
              </w:rPr>
            </w:pPr>
            <w:r w:rsidRPr="00091E87">
              <w:rPr>
                <w:rFonts w:ascii="Times New Roman" w:hAnsi="Times New Roman" w:cs="Times New Roman"/>
                <w:i/>
                <w:iCs/>
              </w:rPr>
              <w:t>The ethical hacker’s mindset described here is not merely a philosophical stance – it is a professional requirement in modern federal security. The DoD Cyber Excepted Services (CES) and the broader federal cyber workforce framework (NICE) increasingly value adversary thinking as a core competency as part of their KSA (Knowledge, Skills, Attributes) requirement. The defender who cannot think like an attacker is defending blind. But the ethical hacker’s mindset goes a bit further than what I described above: it requires understanding mission context. An attacker does not care whether a hospital’s Active Directory goes down. A defender supporting a military health system does. The ethical hacker in this book is not just someone who knows how to run BloodHound or Mimikatz – they are someone who knows how to run those tools, interpret and understand the results, and translates them into meaningful, actionable, mission-safe recommendations for remediation.</w:t>
            </w:r>
          </w:p>
          <w:p w14:paraId="72AD4986" w14:textId="77777777" w:rsidR="00091E87" w:rsidRPr="00091E87" w:rsidRDefault="00091E87" w:rsidP="009966D1">
            <w:pPr>
              <w:pStyle w:val="ListParagraph"/>
              <w:rPr>
                <w:rFonts w:ascii="Times New Roman" w:hAnsi="Times New Roman" w:cs="Times New Roman"/>
                <w:i/>
                <w:iCs/>
              </w:rPr>
            </w:pPr>
          </w:p>
        </w:tc>
      </w:tr>
    </w:tbl>
    <w:p w14:paraId="3DFB8C74" w14:textId="61A902E5" w:rsidR="00B56D90" w:rsidRPr="00B56D90" w:rsidRDefault="009F456A" w:rsidP="00B56D90">
      <w:pPr>
        <w:pStyle w:val="Heading2"/>
        <w:rPr>
          <w:b/>
          <w:bCs/>
        </w:rPr>
      </w:pPr>
      <w:r>
        <w:rPr>
          <w:b/>
          <w:bCs/>
        </w:rPr>
        <w:t xml:space="preserve">1.10 </w:t>
      </w:r>
      <w:r w:rsidR="00B56D90" w:rsidRPr="00B56D90">
        <w:rPr>
          <w:b/>
          <w:bCs/>
        </w:rPr>
        <w:t>Architectural Blueprint: The Interconnected Methodology of This Book</w:t>
      </w:r>
    </w:p>
    <w:p w14:paraId="7B13C643" w14:textId="44FABCAB" w:rsidR="00B56D90" w:rsidRPr="009F456A" w:rsidRDefault="00B56D90" w:rsidP="00B56D90">
      <w:pPr>
        <w:rPr>
          <w:rFonts w:ascii="Times New Roman" w:eastAsia="Times New Roman" w:hAnsi="Times New Roman" w:cs="Times New Roman"/>
          <w:kern w:val="0"/>
          <w14:ligatures w14:val="none"/>
        </w:rPr>
      </w:pPr>
      <w:r w:rsidRPr="009F456A">
        <w:rPr>
          <w:rFonts w:ascii="Times New Roman" w:eastAsia="Times New Roman" w:hAnsi="Times New Roman" w:cs="Times New Roman"/>
          <w:kern w:val="0"/>
          <w14:ligatures w14:val="none"/>
        </w:rPr>
        <w:t>This monograph details the trajectory of enterprise identity architecture from its operational foundations to its automated future. The initial chapters establish the conceptual, governance, and technical frameworks necessary to comprehend modern directory services. The intermediate sections detail the methodologies required to assess, engineer, map, exploit, and harden identity infrastructures. Finally, the concluding chapters transition into advanced threat detection, disaster recovery orchestration, operational lessons learned from post-incident analysis, and future cryptographic modernization strategies.</w:t>
      </w:r>
    </w:p>
    <w:p w14:paraId="453D3BD5" w14:textId="5C065C67" w:rsidR="00B56D90" w:rsidRPr="00B56D90" w:rsidRDefault="00B56D90" w:rsidP="00B56D90">
      <w:pPr>
        <w:rPr>
          <w:rFonts w:ascii="Times New Roman" w:eastAsia="Times New Roman" w:hAnsi="Times New Roman" w:cs="Times New Roman"/>
          <w:kern w:val="0"/>
          <w14:ligatures w14:val="none"/>
        </w:rPr>
      </w:pPr>
      <w:r w:rsidRPr="00B56D90">
        <w:rPr>
          <w:rFonts w:ascii="Times New Roman" w:eastAsia="Times New Roman" w:hAnsi="Times New Roman" w:cs="Times New Roman"/>
          <w:kern w:val="0"/>
          <w14:ligatures w14:val="none"/>
        </w:rPr>
        <w:t>This pedagogical structure is deliberately non-linear; it reinforces the principle that technical mastery requires foundational fluency.</w:t>
      </w:r>
    </w:p>
    <w:p w14:paraId="592D3138" w14:textId="77777777" w:rsidR="00B56D90" w:rsidRPr="00B56D90" w:rsidRDefault="00B56D90" w:rsidP="009F456A">
      <w:pPr>
        <w:contextualSpacing/>
        <w:rPr>
          <w:rFonts w:ascii="Times New Roman" w:eastAsia="Times New Roman" w:hAnsi="Times New Roman" w:cs="Times New Roman"/>
          <w:kern w:val="0"/>
          <w14:ligatures w14:val="none"/>
        </w:rPr>
      </w:pPr>
      <w:r w:rsidRPr="00B56D90">
        <w:rPr>
          <w:rFonts w:ascii="Times New Roman" w:eastAsia="Times New Roman" w:hAnsi="Times New Roman" w:cs="Times New Roman"/>
          <w:kern w:val="0"/>
          <w14:ligatures w14:val="none"/>
        </w:rPr>
        <w:lastRenderedPageBreak/>
        <w:t>As an identity security practitioner, you cannot effectively mitigate advanced threat vectors without first mastering the structural mechanisms that govern them. Attempting to remediate sophisticated exploits—such as Kerberoasting, DCSync replication abuse, NTLM relaying, Active Directory Certificate Services (AD CS) manipulation, or Golden Ticket forgery—is impossible without a rigorous grasp of identity governance frameworks, directory topology, core authentication protocols, and privilege escalation boundaries. Automated toolsets do not constitute systemic understanding, and executing syntax commands does not equate to security strategy. A defender who memorizes the theoretical mechanics of an exploit, yet fails to comprehend its underlying architectural catalyst, will consistently struggle to implement permanent remediation strategies within a production environment.</w:t>
      </w:r>
    </w:p>
    <w:p w14:paraId="73E25289" w14:textId="77777777" w:rsidR="009F456A" w:rsidRDefault="009F456A" w:rsidP="009F456A">
      <w:pPr>
        <w:contextualSpacing/>
        <w:rPr>
          <w:rFonts w:ascii="Times New Roman" w:eastAsia="Times New Roman" w:hAnsi="Times New Roman" w:cs="Times New Roman"/>
          <w:kern w:val="0"/>
          <w14:ligatures w14:val="none"/>
        </w:rPr>
      </w:pPr>
    </w:p>
    <w:p w14:paraId="35C61F31" w14:textId="0AEAFC6B" w:rsidR="00B56D90" w:rsidRPr="00B56D90" w:rsidRDefault="00B56D90" w:rsidP="009F456A">
      <w:pPr>
        <w:contextualSpacing/>
        <w:rPr>
          <w:rFonts w:ascii="Times New Roman" w:eastAsia="Times New Roman" w:hAnsi="Times New Roman" w:cs="Times New Roman"/>
          <w:kern w:val="0"/>
          <w14:ligatures w14:val="none"/>
        </w:rPr>
      </w:pPr>
      <w:r w:rsidRPr="00B56D90">
        <w:rPr>
          <w:rFonts w:ascii="Times New Roman" w:eastAsia="Times New Roman" w:hAnsi="Times New Roman" w:cs="Times New Roman"/>
          <w:kern w:val="0"/>
          <w14:ligatures w14:val="none"/>
        </w:rPr>
        <w:t xml:space="preserve">Accordingly, this text avoids treating offensive tradecraft and defensive engineering as disparate, isolated domains. Within the identity control plane, offensive vectors and defensive controls are fundamentally symmetrical. The precise security group membership that an adversary exploits for lateral movement is the exact object configuration you must scrutinize during a lifecycle review. The same Service Principal Name (SPN) that facilitates a Kerberoasting attack is the configuration variable you must discover and inventory. Similarly, the misconfigured certificate template that introduces privilege escalation risks is the identical asset a Public Key Infrastructure (PKI) administrator must govern, and the cross-boundary trust pathway that permits multi-forest exploitation is the exact line of demarcation </w:t>
      </w:r>
      <w:proofErr w:type="gramStart"/>
      <w:r w:rsidRPr="00B56D90">
        <w:rPr>
          <w:rFonts w:ascii="Times New Roman" w:eastAsia="Times New Roman" w:hAnsi="Times New Roman" w:cs="Times New Roman"/>
          <w:kern w:val="0"/>
          <w14:ligatures w14:val="none"/>
        </w:rPr>
        <w:t>an</w:t>
      </w:r>
      <w:proofErr w:type="gramEnd"/>
      <w:r w:rsidRPr="00B56D90">
        <w:rPr>
          <w:rFonts w:ascii="Times New Roman" w:eastAsia="Times New Roman" w:hAnsi="Times New Roman" w:cs="Times New Roman"/>
          <w:kern w:val="0"/>
          <w14:ligatures w14:val="none"/>
        </w:rPr>
        <w:t xml:space="preserve"> identity engineer must cryptographically validate and protect.</w:t>
      </w:r>
    </w:p>
    <w:p w14:paraId="2EB85109" w14:textId="77777777" w:rsidR="009F456A" w:rsidRDefault="009F456A" w:rsidP="009F456A">
      <w:pPr>
        <w:contextualSpacing/>
        <w:rPr>
          <w:rFonts w:ascii="Times New Roman" w:eastAsia="Times New Roman" w:hAnsi="Times New Roman" w:cs="Times New Roman"/>
          <w:kern w:val="0"/>
          <w14:ligatures w14:val="none"/>
        </w:rPr>
      </w:pPr>
    </w:p>
    <w:p w14:paraId="0CA75938" w14:textId="4C853E6A" w:rsidR="00B56D90" w:rsidRPr="00B56D90" w:rsidRDefault="00B56D90" w:rsidP="009F456A">
      <w:pPr>
        <w:contextualSpacing/>
        <w:rPr>
          <w:rFonts w:ascii="Times New Roman" w:eastAsia="Times New Roman" w:hAnsi="Times New Roman" w:cs="Times New Roman"/>
          <w:kern w:val="0"/>
          <w14:ligatures w14:val="none"/>
        </w:rPr>
      </w:pPr>
      <w:r w:rsidRPr="00B56D90">
        <w:rPr>
          <w:rFonts w:ascii="Times New Roman" w:eastAsia="Times New Roman" w:hAnsi="Times New Roman" w:cs="Times New Roman"/>
          <w:kern w:val="0"/>
          <w14:ligatures w14:val="none"/>
        </w:rPr>
        <w:t>The ultimate objective of this text is to equip you with the specialized mindset of an identity security engineer operating through the analytical lens of an ethical hacker.</w:t>
      </w:r>
    </w:p>
    <w:p w14:paraId="38CC6C53" w14:textId="77777777" w:rsidR="009F456A" w:rsidRDefault="009F456A" w:rsidP="009F456A">
      <w:pPr>
        <w:contextualSpacing/>
        <w:rPr>
          <w:rFonts w:ascii="Times New Roman" w:eastAsia="Times New Roman" w:hAnsi="Times New Roman" w:cs="Times New Roman"/>
          <w:kern w:val="0"/>
          <w14:ligatures w14:val="none"/>
        </w:rPr>
      </w:pPr>
    </w:p>
    <w:p w14:paraId="7B466676" w14:textId="6092B1D8" w:rsidR="00B47558" w:rsidRDefault="00B56D90" w:rsidP="009F456A">
      <w:pPr>
        <w:contextualSpacing/>
        <w:rPr>
          <w:rFonts w:ascii="Times New Roman" w:eastAsia="Times New Roman" w:hAnsi="Times New Roman" w:cs="Times New Roman"/>
          <w:kern w:val="0"/>
          <w14:ligatures w14:val="none"/>
        </w:rPr>
      </w:pPr>
      <w:r w:rsidRPr="00B56D90">
        <w:rPr>
          <w:rFonts w:ascii="Times New Roman" w:eastAsia="Times New Roman" w:hAnsi="Times New Roman" w:cs="Times New Roman"/>
          <w:kern w:val="0"/>
          <w14:ligatures w14:val="none"/>
        </w:rPr>
        <w:t>This specialized mindset demands intellectual curiosity, systemic troubleshooting capabilities, and the capacity to analyze architectural anomalies from multi-dimensional angles. Rather than relying on rigid, checkbox-driven compliance standards, you must learn to continuously question the operational integrity of the infrastructure. This approach requires evaluating the primary risk models and latent vulnerabilities inherent in a deployment, identifying which entities are granted implicit trust, and determining where administrative privilege is concentrated. Furthermore, you must continuously analyze what assets are exposed to unauthenticated segments, verify the high-fidelity coverage of active security telemetry, map the boundaries of unmonitored infrastructure, and evaluate the resilience of post-compromise recovery pathways. Cultivating this proactive, adversarial perspective forms the analytical foundation for every advanced technical blueprint detailed throughout this text</w:t>
      </w:r>
      <w:r w:rsidR="009F456A">
        <w:rPr>
          <w:rFonts w:ascii="Times New Roman" w:eastAsia="Times New Roman" w:hAnsi="Times New Roman" w:cs="Times New Roman"/>
          <w:kern w:val="0"/>
          <w14:ligatures w14:val="none"/>
        </w:rPr>
        <w:t>.</w:t>
      </w:r>
    </w:p>
    <w:p w14:paraId="66FC781F" w14:textId="77777777" w:rsidR="00F2739B" w:rsidRDefault="00F2739B" w:rsidP="009F456A">
      <w:pPr>
        <w:contextualSpacing/>
        <w:rPr>
          <w:rFonts w:ascii="Times New Roman" w:eastAsia="Times New Roman" w:hAnsi="Times New Roman" w:cs="Times New Roman"/>
          <w:kern w:val="0"/>
          <w14:ligatures w14:val="none"/>
        </w:rPr>
      </w:pPr>
    </w:p>
    <w:p w14:paraId="2CF50E66" w14:textId="403EC365" w:rsidR="00F2739B" w:rsidRPr="00F2739B" w:rsidRDefault="00F2739B" w:rsidP="00F2739B">
      <w:pPr>
        <w:rPr>
          <w:rFonts w:ascii="Times New Roman" w:hAnsi="Times New Roman" w:cs="Times New Roman"/>
          <w:b/>
          <w:bCs/>
        </w:rPr>
      </w:pPr>
      <w:r w:rsidRPr="00F2739B">
        <w:rPr>
          <w:rFonts w:ascii="Times New Roman" w:hAnsi="Times New Roman" w:cs="Times New Roman"/>
          <w:b/>
          <w:bCs/>
        </w:rPr>
        <w:t>Introduction to Next Chapter</w:t>
      </w:r>
    </w:p>
    <w:p w14:paraId="503637EB" w14:textId="77777777" w:rsidR="00F2739B" w:rsidRPr="00F2739B" w:rsidRDefault="00F2739B" w:rsidP="00F2739B">
      <w:pPr>
        <w:rPr>
          <w:rFonts w:ascii="Times New Roman" w:hAnsi="Times New Roman" w:cs="Times New Roman"/>
        </w:rPr>
      </w:pPr>
      <w:r w:rsidRPr="00F2739B">
        <w:rPr>
          <w:rFonts w:ascii="Times New Roman" w:hAnsi="Times New Roman" w:cs="Times New Roman"/>
        </w:rPr>
        <w:lastRenderedPageBreak/>
        <w:t>This chapter established identity as the foundational security boundary and primary operational battlefield. The reader now understands that identity is not simply a login service or administrative convenience. It is the mechanism by which the enterprise grants trust.</w:t>
      </w:r>
    </w:p>
    <w:p w14:paraId="4B0C1C8B" w14:textId="77777777" w:rsidR="00F2739B" w:rsidRPr="00F2739B" w:rsidRDefault="00F2739B" w:rsidP="00F2739B">
      <w:pPr>
        <w:rPr>
          <w:rFonts w:ascii="Times New Roman" w:hAnsi="Times New Roman" w:cs="Times New Roman"/>
        </w:rPr>
      </w:pPr>
      <w:r w:rsidRPr="00F2739B">
        <w:rPr>
          <w:rFonts w:ascii="Times New Roman" w:hAnsi="Times New Roman" w:cs="Times New Roman"/>
        </w:rPr>
        <w:t>The next chapter introduces the federal governance model that shapes how identity should be established, credentialed, authorized, federated, monitored, reviewed, and revoked.</w:t>
      </w:r>
    </w:p>
    <w:p w14:paraId="2AAFE919" w14:textId="77777777" w:rsidR="00F2739B" w:rsidRPr="00F2739B" w:rsidRDefault="00F2739B" w:rsidP="00F2739B">
      <w:pPr>
        <w:rPr>
          <w:rFonts w:ascii="Times New Roman" w:hAnsi="Times New Roman" w:cs="Times New Roman"/>
        </w:rPr>
      </w:pPr>
      <w:r w:rsidRPr="00F2739B">
        <w:rPr>
          <w:rFonts w:ascii="Times New Roman" w:hAnsi="Times New Roman" w:cs="Times New Roman"/>
        </w:rPr>
        <w:t>Chapter 2 moves from identity as a security concept into FICAM as the federal governance lens. It explains how federal identity programs organize identity proofing, credential issuance, authentication assurance, access governance, federation, authorization, lifecycle management, and mission assurance.</w:t>
      </w:r>
    </w:p>
    <w:p w14:paraId="398E2D70" w14:textId="77777777" w:rsidR="00F2739B" w:rsidRPr="00F2739B" w:rsidRDefault="00F2739B" w:rsidP="00F2739B">
      <w:pPr>
        <w:rPr>
          <w:rFonts w:ascii="Times New Roman" w:hAnsi="Times New Roman" w:cs="Times New Roman"/>
        </w:rPr>
      </w:pPr>
      <w:r w:rsidRPr="00F2739B">
        <w:rPr>
          <w:rFonts w:ascii="Times New Roman" w:hAnsi="Times New Roman" w:cs="Times New Roman"/>
        </w:rPr>
        <w:t>If Chapter 1 answers the question, “Why does identity matter?” Chapter 2 answers, “How is identity supposed to be governed in federal environments?”</w:t>
      </w:r>
    </w:p>
    <w:p w14:paraId="57031979" w14:textId="77777777" w:rsidR="00F2739B" w:rsidRPr="00F2739B" w:rsidRDefault="00F2739B" w:rsidP="009F456A">
      <w:pPr>
        <w:contextualSpacing/>
        <w:rPr>
          <w:rFonts w:ascii="Times New Roman" w:eastAsia="Times New Roman" w:hAnsi="Times New Roman" w:cs="Times New Roman"/>
          <w:kern w:val="0"/>
          <w14:ligatures w14:val="none"/>
        </w:rPr>
      </w:pPr>
    </w:p>
    <w:sectPr w:rsidR="00F2739B" w:rsidRPr="00F273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76832"/>
    <w:multiLevelType w:val="hybridMultilevel"/>
    <w:tmpl w:val="6A047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5C61D9"/>
    <w:multiLevelType w:val="multilevel"/>
    <w:tmpl w:val="D0782AC6"/>
    <w:lvl w:ilvl="0">
      <w:start w:val="1"/>
      <w:numFmt w:val="decimal"/>
      <w:lvlText w:val="%1"/>
      <w:lvlJc w:val="left"/>
      <w:pPr>
        <w:ind w:left="480" w:hanging="480"/>
      </w:pPr>
      <w:rPr>
        <w:rFonts w:hint="default"/>
      </w:rPr>
    </w:lvl>
    <w:lvl w:ilvl="1">
      <w:start w:val="10"/>
      <w:numFmt w:val="decimal"/>
      <w:lvlText w:val="%1.%2"/>
      <w:lvlJc w:val="left"/>
      <w:pPr>
        <w:ind w:left="855" w:hanging="480"/>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4800" w:hanging="1800"/>
      </w:pPr>
      <w:rPr>
        <w:rFonts w:hint="default"/>
      </w:rPr>
    </w:lvl>
  </w:abstractNum>
  <w:abstractNum w:abstractNumId="2" w15:restartNumberingAfterBreak="0">
    <w:nsid w:val="69D72917"/>
    <w:multiLevelType w:val="hybridMultilevel"/>
    <w:tmpl w:val="2FBA59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9306224">
    <w:abstractNumId w:val="1"/>
  </w:num>
  <w:num w:numId="2" w16cid:durableId="1071461171">
    <w:abstractNumId w:val="2"/>
  </w:num>
  <w:num w:numId="3" w16cid:durableId="37171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212"/>
    <w:rsid w:val="00091E87"/>
    <w:rsid w:val="003D50DA"/>
    <w:rsid w:val="00824212"/>
    <w:rsid w:val="00941DF8"/>
    <w:rsid w:val="009F456A"/>
    <w:rsid w:val="00A435E7"/>
    <w:rsid w:val="00A557B9"/>
    <w:rsid w:val="00B47558"/>
    <w:rsid w:val="00B56D90"/>
    <w:rsid w:val="00EC0E52"/>
    <w:rsid w:val="00F2739B"/>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11C1B"/>
  <w15:chartTrackingRefBased/>
  <w15:docId w15:val="{63B69209-0D3C-44E9-8E28-509B6B439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D90"/>
  </w:style>
  <w:style w:type="paragraph" w:styleId="Heading1">
    <w:name w:val="heading 1"/>
    <w:basedOn w:val="Normal"/>
    <w:next w:val="Normal"/>
    <w:link w:val="Heading1Char"/>
    <w:uiPriority w:val="9"/>
    <w:qFormat/>
    <w:rsid w:val="00824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4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4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212"/>
    <w:rPr>
      <w:rFonts w:eastAsiaTheme="majorEastAsia" w:cstheme="majorBidi"/>
      <w:color w:val="272727" w:themeColor="text1" w:themeTint="D8"/>
    </w:rPr>
  </w:style>
  <w:style w:type="paragraph" w:styleId="Title">
    <w:name w:val="Title"/>
    <w:basedOn w:val="Normal"/>
    <w:next w:val="Normal"/>
    <w:link w:val="TitleChar"/>
    <w:uiPriority w:val="10"/>
    <w:qFormat/>
    <w:rsid w:val="00824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212"/>
    <w:pPr>
      <w:spacing w:before="160"/>
      <w:jc w:val="center"/>
    </w:pPr>
    <w:rPr>
      <w:i/>
      <w:iCs/>
      <w:color w:val="404040" w:themeColor="text1" w:themeTint="BF"/>
    </w:rPr>
  </w:style>
  <w:style w:type="character" w:customStyle="1" w:styleId="QuoteChar">
    <w:name w:val="Quote Char"/>
    <w:basedOn w:val="DefaultParagraphFont"/>
    <w:link w:val="Quote"/>
    <w:uiPriority w:val="29"/>
    <w:rsid w:val="00824212"/>
    <w:rPr>
      <w:i/>
      <w:iCs/>
      <w:color w:val="404040" w:themeColor="text1" w:themeTint="BF"/>
    </w:rPr>
  </w:style>
  <w:style w:type="paragraph" w:styleId="ListParagraph">
    <w:name w:val="List Paragraph"/>
    <w:basedOn w:val="Normal"/>
    <w:uiPriority w:val="34"/>
    <w:qFormat/>
    <w:rsid w:val="00824212"/>
    <w:pPr>
      <w:ind w:left="720"/>
      <w:contextualSpacing/>
    </w:pPr>
  </w:style>
  <w:style w:type="character" w:styleId="IntenseEmphasis">
    <w:name w:val="Intense Emphasis"/>
    <w:basedOn w:val="DefaultParagraphFont"/>
    <w:uiPriority w:val="21"/>
    <w:qFormat/>
    <w:rsid w:val="00824212"/>
    <w:rPr>
      <w:i/>
      <w:iCs/>
      <w:color w:val="0F4761" w:themeColor="accent1" w:themeShade="BF"/>
    </w:rPr>
  </w:style>
  <w:style w:type="paragraph" w:styleId="IntenseQuote">
    <w:name w:val="Intense Quote"/>
    <w:basedOn w:val="Normal"/>
    <w:next w:val="Normal"/>
    <w:link w:val="IntenseQuoteChar"/>
    <w:uiPriority w:val="30"/>
    <w:qFormat/>
    <w:rsid w:val="00824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212"/>
    <w:rPr>
      <w:i/>
      <w:iCs/>
      <w:color w:val="0F4761" w:themeColor="accent1" w:themeShade="BF"/>
    </w:rPr>
  </w:style>
  <w:style w:type="character" w:styleId="IntenseReference">
    <w:name w:val="Intense Reference"/>
    <w:basedOn w:val="DefaultParagraphFont"/>
    <w:uiPriority w:val="32"/>
    <w:qFormat/>
    <w:rsid w:val="00824212"/>
    <w:rPr>
      <w:b/>
      <w:bCs/>
      <w:smallCaps/>
      <w:color w:val="0F4761" w:themeColor="accent1" w:themeShade="BF"/>
      <w:spacing w:val="5"/>
    </w:rPr>
  </w:style>
  <w:style w:type="table" w:styleId="TableGrid">
    <w:name w:val="Table Grid"/>
    <w:basedOn w:val="TableNormal"/>
    <w:uiPriority w:val="39"/>
    <w:rsid w:val="009F45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28</Pages>
  <Words>10266</Words>
  <Characters>58520</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dcterms:created xsi:type="dcterms:W3CDTF">2026-07-10T00:25:00Z</dcterms:created>
  <dcterms:modified xsi:type="dcterms:W3CDTF">2026-07-10T13:17:00Z</dcterms:modified>
</cp:coreProperties>
</file>