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07F4" w14:textId="193A4F55" w:rsidR="00366765" w:rsidRDefault="00366765" w:rsidP="00366765">
      <w:pPr>
        <w:pStyle w:val="Heading1"/>
        <w:rPr>
          <w:b/>
          <w:bCs/>
          <w:color w:val="auto"/>
        </w:rPr>
      </w:pPr>
      <w:r w:rsidRPr="00046F15">
        <w:rPr>
          <w:b/>
          <w:bCs/>
          <w:color w:val="auto"/>
        </w:rPr>
        <w:t>C</w:t>
      </w:r>
      <w:r>
        <w:rPr>
          <w:b/>
          <w:bCs/>
          <w:color w:val="auto"/>
        </w:rPr>
        <w:t>HAPTER</w:t>
      </w:r>
      <w:r w:rsidRPr="00046F15">
        <w:rPr>
          <w:b/>
          <w:bCs/>
          <w:color w:val="auto"/>
        </w:rPr>
        <w:t xml:space="preserve"> </w:t>
      </w:r>
      <w:r>
        <w:rPr>
          <w:b/>
          <w:bCs/>
          <w:color w:val="auto"/>
        </w:rPr>
        <w:t>4</w:t>
      </w:r>
      <w:r w:rsidRPr="00046F15">
        <w:rPr>
          <w:b/>
          <w:bCs/>
          <w:color w:val="auto"/>
        </w:rPr>
        <w:t>.</w:t>
      </w:r>
    </w:p>
    <w:p w14:paraId="7404FCD2" w14:textId="17F13A82" w:rsidR="00366765" w:rsidRPr="00046F15" w:rsidRDefault="00366765" w:rsidP="00366765">
      <w:pPr>
        <w:pStyle w:val="Heading1"/>
        <w:rPr>
          <w:b/>
          <w:bCs/>
          <w:color w:val="auto"/>
        </w:rPr>
      </w:pPr>
      <w:r>
        <w:rPr>
          <w:b/>
          <w:bCs/>
          <w:color w:val="auto"/>
        </w:rPr>
        <w:t>FEDERAL IDENTITY GOVERNANCE: FICAM, DoD ICAM, ASSURANCE, PIV, CAC, AND ZERO TRUST</w:t>
      </w:r>
    </w:p>
    <w:p w14:paraId="7E63F4AE" w14:textId="77777777" w:rsidR="00366765" w:rsidRDefault="00366765" w:rsidP="00366765">
      <w:pPr>
        <w:pStyle w:val="Heading2"/>
        <w:rPr>
          <w:b/>
          <w:bCs/>
          <w:color w:val="auto"/>
        </w:rPr>
      </w:pPr>
      <w:r w:rsidRPr="00046F15">
        <w:rPr>
          <w:b/>
          <w:bCs/>
          <w:color w:val="auto"/>
        </w:rPr>
        <w:t>A</w:t>
      </w:r>
      <w:r>
        <w:rPr>
          <w:b/>
          <w:bCs/>
          <w:color w:val="auto"/>
        </w:rPr>
        <w:t>BSTRACT</w:t>
      </w:r>
    </w:p>
    <w:p w14:paraId="671BA89A" w14:textId="36855A3E" w:rsidR="00366765" w:rsidRDefault="00366765" w:rsidP="00366765">
      <w:pPr>
        <w:rPr>
          <w:rFonts w:ascii="Times New Roman" w:hAnsi="Times New Roman" w:cs="Times New Roman"/>
        </w:rPr>
      </w:pPr>
      <w:r>
        <w:rPr>
          <w:rFonts w:ascii="Times New Roman" w:hAnsi="Times New Roman" w:cs="Times New Roman"/>
        </w:rPr>
        <w:t>Federal identity is governed, not merely configured. Before an account exists in a directory, a framework has already determined how a person or entity is proofed, what credential they receive, how strongly they must authenticate, and under what authority they may access a resource.</w:t>
      </w:r>
    </w:p>
    <w:p w14:paraId="1F9B8DE3" w14:textId="5E05922F" w:rsidR="00366765" w:rsidRDefault="00366765" w:rsidP="00366765">
      <w:pPr>
        <w:rPr>
          <w:rFonts w:ascii="Times New Roman" w:hAnsi="Times New Roman" w:cs="Times New Roman"/>
        </w:rPr>
      </w:pPr>
      <w:r>
        <w:rPr>
          <w:rFonts w:ascii="Times New Roman" w:hAnsi="Times New Roman" w:cs="Times New Roman"/>
        </w:rPr>
        <w:t>Chapter 4 establishes that governance framework as the lens through which the rest of the book reads Active Directory security. It introduces the federal government’s enterprise approach to identity, credential, and access management and the Department of Defense’s implementation of it; explains the assurance model that grades confidence in identity proofing, authentication, and federation; describes the credentials – including the Personal Identity Verification card and the Common Access Card – and the Federal Public Key Infrastructure (FPKI) behind them; and situates all of this within the Zero Trust direction that federal policy now mandates. The organizing argument is that governance decisions are not compliance overhead but the origin of the technical conditions that later become attack surface: a proofing standard, an assurance requirement, or a federation agreement is implemented as architecture, enforced as a control, and – when it drifts or is misunderstood – exploited as a weakness. The chapter treats governance as terrain, connecting each framework to the identity trust system and to the mission consequences of its failure, without yet teaching how the resulting conditions are attacked.</w:t>
      </w:r>
    </w:p>
    <w:p w14:paraId="420C7CF3" w14:textId="093DD428" w:rsidR="00366765" w:rsidRDefault="00366765" w:rsidP="00366765">
      <w:pPr>
        <w:rPr>
          <w:rFonts w:ascii="Times New Roman" w:hAnsi="Times New Roman" w:cs="Times New Roman"/>
        </w:rPr>
      </w:pPr>
      <w:r>
        <w:rPr>
          <w:rFonts w:ascii="Times New Roman" w:hAnsi="Times New Roman" w:cs="Times New Roman"/>
        </w:rPr>
        <w:t>KEYWORDS</w:t>
      </w:r>
    </w:p>
    <w:p w14:paraId="49170AA0" w14:textId="3EE43E41" w:rsidR="00366765" w:rsidRDefault="00366765" w:rsidP="00366765">
      <w:pPr>
        <w:rPr>
          <w:rFonts w:ascii="Times New Roman" w:hAnsi="Times New Roman" w:cs="Times New Roman"/>
        </w:rPr>
      </w:pPr>
      <w:r>
        <w:rPr>
          <w:rFonts w:ascii="Times New Roman" w:hAnsi="Times New Roman" w:cs="Times New Roman"/>
        </w:rPr>
        <w:t>FICAM; DoD ICAM; Identity assurance; Personal Identity Verification; Common Access Card; Federal PKI, Zero Trust; Identity governance; Federation</w:t>
      </w:r>
    </w:p>
    <w:p w14:paraId="722AB7A3" w14:textId="0CB820F2" w:rsidR="00366765" w:rsidRDefault="00366765" w:rsidP="00366765">
      <w:pPr>
        <w:rPr>
          <w:rFonts w:ascii="Times New Roman" w:hAnsi="Times New Roman" w:cs="Times New Roman"/>
        </w:rPr>
      </w:pPr>
      <w:r>
        <w:rPr>
          <w:rFonts w:ascii="Times New Roman" w:hAnsi="Times New Roman" w:cs="Times New Roman"/>
        </w:rPr>
        <w:t>KEY TERMS</w:t>
      </w:r>
    </w:p>
    <w:p w14:paraId="0BA135F0" w14:textId="5BA2C9A8" w:rsidR="00366765" w:rsidRDefault="00366765" w:rsidP="00366765">
      <w:pPr>
        <w:pStyle w:val="ListParagraph"/>
        <w:numPr>
          <w:ilvl w:val="0"/>
          <w:numId w:val="1"/>
        </w:numPr>
        <w:rPr>
          <w:rFonts w:ascii="Times New Roman" w:hAnsi="Times New Roman" w:cs="Times New Roman"/>
        </w:rPr>
      </w:pPr>
      <w:r>
        <w:rPr>
          <w:rFonts w:ascii="Times New Roman" w:hAnsi="Times New Roman" w:cs="Times New Roman"/>
          <w:b/>
          <w:bCs/>
        </w:rPr>
        <w:t xml:space="preserve">FICAM (Federal Identity, Credential, and Access Management): </w:t>
      </w:r>
      <w:r>
        <w:rPr>
          <w:rFonts w:ascii="Times New Roman" w:hAnsi="Times New Roman" w:cs="Times New Roman"/>
        </w:rPr>
        <w:t>The United States Federal Government’s enterprise approach to common identity, credential, access, federation, and governance processes.</w:t>
      </w:r>
    </w:p>
    <w:p w14:paraId="34B58015" w14:textId="02058472" w:rsidR="00366765" w:rsidRDefault="00366765" w:rsidP="00366765">
      <w:pPr>
        <w:pStyle w:val="ListParagraph"/>
        <w:numPr>
          <w:ilvl w:val="0"/>
          <w:numId w:val="1"/>
        </w:numPr>
        <w:rPr>
          <w:rFonts w:ascii="Times New Roman" w:hAnsi="Times New Roman" w:cs="Times New Roman"/>
        </w:rPr>
      </w:pPr>
      <w:r>
        <w:rPr>
          <w:rFonts w:ascii="Times New Roman" w:hAnsi="Times New Roman" w:cs="Times New Roman"/>
          <w:b/>
          <w:bCs/>
        </w:rPr>
        <w:t>DoD ICAM (Department of Defense Identity, Credential, and Access Management):</w:t>
      </w:r>
      <w:r>
        <w:rPr>
          <w:rFonts w:ascii="Times New Roman" w:hAnsi="Times New Roman" w:cs="Times New Roman"/>
        </w:rPr>
        <w:t xml:space="preserve"> The Department of Defense’s policy, architecture, services, and operational implementation of identity, credential, and access management.</w:t>
      </w:r>
    </w:p>
    <w:p w14:paraId="05178CE7" w14:textId="7913A73F" w:rsidR="00366765" w:rsidRDefault="00366765" w:rsidP="00366765">
      <w:pPr>
        <w:pStyle w:val="ListParagraph"/>
        <w:numPr>
          <w:ilvl w:val="0"/>
          <w:numId w:val="1"/>
        </w:numPr>
        <w:rPr>
          <w:rFonts w:ascii="Times New Roman" w:hAnsi="Times New Roman" w:cs="Times New Roman"/>
        </w:rPr>
      </w:pPr>
      <w:r>
        <w:rPr>
          <w:rFonts w:ascii="Times New Roman" w:hAnsi="Times New Roman" w:cs="Times New Roman"/>
          <w:b/>
          <w:bCs/>
        </w:rPr>
        <w:lastRenderedPageBreak/>
        <w:t>Assurance level:</w:t>
      </w:r>
      <w:r>
        <w:rPr>
          <w:rFonts w:ascii="Times New Roman" w:hAnsi="Times New Roman" w:cs="Times New Roman"/>
        </w:rPr>
        <w:t xml:space="preserve"> A graded measure of confidence in identity proofing, authentication strength, or federation, defined by federal digital-identity guidance.</w:t>
      </w:r>
    </w:p>
    <w:p w14:paraId="6F8614D4" w14:textId="439CB8CC" w:rsidR="00366765" w:rsidRDefault="00366765" w:rsidP="00366765">
      <w:pPr>
        <w:pStyle w:val="ListParagraph"/>
        <w:numPr>
          <w:ilvl w:val="0"/>
          <w:numId w:val="1"/>
        </w:numPr>
        <w:rPr>
          <w:rFonts w:ascii="Times New Roman" w:hAnsi="Times New Roman" w:cs="Times New Roman"/>
        </w:rPr>
      </w:pPr>
      <w:r>
        <w:rPr>
          <w:rFonts w:ascii="Times New Roman" w:hAnsi="Times New Roman" w:cs="Times New Roman"/>
          <w:b/>
          <w:bCs/>
        </w:rPr>
        <w:t>Personal Identity Verification (PIV):</w:t>
      </w:r>
      <w:r>
        <w:rPr>
          <w:rFonts w:ascii="Times New Roman" w:hAnsi="Times New Roman" w:cs="Times New Roman"/>
        </w:rPr>
        <w:t xml:space="preserve"> The federal standard credential for identity assurance, established under Homeland Security Presidential Directive 12 (HSPD-12).</w:t>
      </w:r>
    </w:p>
    <w:p w14:paraId="7BD4E8EE" w14:textId="2CFF39CE" w:rsidR="00366765" w:rsidRDefault="00366765" w:rsidP="00366765">
      <w:pPr>
        <w:pStyle w:val="ListParagraph"/>
        <w:numPr>
          <w:ilvl w:val="0"/>
          <w:numId w:val="1"/>
        </w:numPr>
        <w:rPr>
          <w:rFonts w:ascii="Times New Roman" w:hAnsi="Times New Roman" w:cs="Times New Roman"/>
        </w:rPr>
      </w:pPr>
      <w:r>
        <w:rPr>
          <w:rFonts w:ascii="Times New Roman" w:hAnsi="Times New Roman" w:cs="Times New Roman"/>
          <w:b/>
          <w:bCs/>
        </w:rPr>
        <w:t>Common Access Card (CAC):</w:t>
      </w:r>
      <w:r>
        <w:rPr>
          <w:rFonts w:ascii="Times New Roman" w:hAnsi="Times New Roman" w:cs="Times New Roman"/>
        </w:rPr>
        <w:t xml:space="preserve"> The Department of Defense’s PIV-compliant smartcard credential.</w:t>
      </w:r>
    </w:p>
    <w:p w14:paraId="3E13CB91" w14:textId="095E9072" w:rsidR="00366765" w:rsidRDefault="00366765" w:rsidP="00366765">
      <w:pPr>
        <w:pStyle w:val="ListParagraph"/>
        <w:numPr>
          <w:ilvl w:val="0"/>
          <w:numId w:val="1"/>
        </w:numPr>
        <w:rPr>
          <w:rFonts w:ascii="Times New Roman" w:hAnsi="Times New Roman" w:cs="Times New Roman"/>
        </w:rPr>
      </w:pPr>
      <w:r>
        <w:rPr>
          <w:rFonts w:ascii="Times New Roman" w:hAnsi="Times New Roman" w:cs="Times New Roman"/>
          <w:b/>
          <w:bCs/>
        </w:rPr>
        <w:t>Federal Public Key Infrastructure (FPKI):</w:t>
      </w:r>
      <w:r>
        <w:rPr>
          <w:rFonts w:ascii="Times New Roman" w:hAnsi="Times New Roman" w:cs="Times New Roman"/>
        </w:rPr>
        <w:t xml:space="preserve"> The federal trust infrastructure of certificate authorities that underpins PIV and CAC credentials.</w:t>
      </w:r>
    </w:p>
    <w:p w14:paraId="7E593C50" w14:textId="329F1A77" w:rsidR="00366765" w:rsidRDefault="00366765" w:rsidP="00366765">
      <w:pPr>
        <w:pStyle w:val="ListParagraph"/>
        <w:numPr>
          <w:ilvl w:val="0"/>
          <w:numId w:val="1"/>
        </w:numPr>
        <w:rPr>
          <w:rFonts w:ascii="Times New Roman" w:hAnsi="Times New Roman" w:cs="Times New Roman"/>
        </w:rPr>
      </w:pPr>
      <w:r>
        <w:rPr>
          <w:rFonts w:ascii="Times New Roman" w:hAnsi="Times New Roman" w:cs="Times New Roman"/>
          <w:b/>
          <w:bCs/>
        </w:rPr>
        <w:t>Zero Trust:</w:t>
      </w:r>
      <w:r>
        <w:rPr>
          <w:rFonts w:ascii="Times New Roman" w:hAnsi="Times New Roman" w:cs="Times New Roman"/>
        </w:rPr>
        <w:t xml:space="preserve"> A security model that removes implicit trust and requires continuous, explicit verification of identity, device, and context.</w:t>
      </w:r>
    </w:p>
    <w:p w14:paraId="1E1E8348" w14:textId="7784B419" w:rsidR="00366765" w:rsidRDefault="00366765" w:rsidP="00366765">
      <w:pPr>
        <w:rPr>
          <w:rFonts w:ascii="Times New Roman" w:hAnsi="Times New Roman" w:cs="Times New Roman"/>
        </w:rPr>
      </w:pPr>
      <w:r>
        <w:rPr>
          <w:rFonts w:ascii="Times New Roman" w:hAnsi="Times New Roman" w:cs="Times New Roman"/>
        </w:rPr>
        <w:t>G4.1 GOVERNANCE IS WHERE THE ATTACK SURFACE BEGINS</w:t>
      </w:r>
    </w:p>
    <w:p w14:paraId="0740A8FE" w14:textId="098C2A0F" w:rsidR="00366765" w:rsidRDefault="00366765" w:rsidP="00366765">
      <w:pPr>
        <w:rPr>
          <w:rFonts w:ascii="Times New Roman" w:hAnsi="Times New Roman" w:cs="Times New Roman"/>
        </w:rPr>
      </w:pPr>
      <w:r>
        <w:rPr>
          <w:rFonts w:ascii="Times New Roman" w:hAnsi="Times New Roman" w:cs="Times New Roman"/>
        </w:rPr>
        <w:t>It is tempting to treat identity governance as pushing paperwork – the policy layer that auditors care about and engineers endure. This book takes the opposite view, and this chapter is where that view is established. Governance is not overhead sitting beside the technical system; it is the origin of the technical system</w:t>
      </w:r>
      <w:r w:rsidR="008F5191">
        <w:rPr>
          <w:rFonts w:ascii="Times New Roman" w:hAnsi="Times New Roman" w:cs="Times New Roman"/>
        </w:rPr>
        <w:t>’s most consequential properties. Before an account exists in Active Directory, a governance framework has already decided how the person behind it was proofed, what credential they hold, how strongly they must authenticate, and under whose authority and purview they may reach a given resource. Those decisions become architecture. The architecture becomes configuration, when it drifts from what the governance intended, becomes the weakness an adversary later finds.</w:t>
      </w:r>
    </w:p>
    <w:p w14:paraId="7523B617" w14:textId="2D0A0654" w:rsidR="008F5191" w:rsidRDefault="008F5191" w:rsidP="00366765">
      <w:pPr>
        <w:rPr>
          <w:rFonts w:ascii="Times New Roman" w:hAnsi="Times New Roman" w:cs="Times New Roman"/>
        </w:rPr>
      </w:pPr>
      <w:r>
        <w:rPr>
          <w:rFonts w:ascii="Times New Roman" w:hAnsi="Times New Roman" w:cs="Times New Roman"/>
        </w:rPr>
        <w:t>This is the casual chain the book returns to throughout: a governance decision is implemented as an architectural choice, enforced as a technical control, subject to configuration drift over time, and – where that drift opens a gap – exploitable as an attack pathway with an observable footprint and a mission consequence. Reading governance as terrain means learning to see where each framework’s requirements are supposed to land in the technical system, so that a later gap between requirement and reality is legible as what it is: not merely a compliance finding but an attack-enabling condition. Federal Identity, Credential, and Access Management (FICAM) is the lens this book reads through, and Chapter 4 installs it. The chapter explains what the governance requires and why it matters to the identity trust system; it does not yet teach how the resulting conditions are attacked, which is the work of Part II.</w:t>
      </w:r>
    </w:p>
    <w:p w14:paraId="76114891" w14:textId="6FD4235D" w:rsidR="008F5191" w:rsidRDefault="008F5191" w:rsidP="00366765">
      <w:pPr>
        <w:rPr>
          <w:rFonts w:ascii="Times New Roman" w:hAnsi="Times New Roman" w:cs="Times New Roman"/>
        </w:rPr>
      </w:pPr>
      <w:r>
        <w:rPr>
          <w:rFonts w:ascii="Times New Roman" w:hAnsi="Times New Roman" w:cs="Times New Roman"/>
        </w:rPr>
        <w:t>F4.2 FICAM: THE FEDERAL GOVERNMENT’S ENTERPRISE APPROACH TO IDENTITY</w:t>
      </w:r>
    </w:p>
    <w:p w14:paraId="78C58D25" w14:textId="0A3DD2B3" w:rsidR="008F5191" w:rsidRDefault="008F5191" w:rsidP="00366765">
      <w:pPr>
        <w:rPr>
          <w:rFonts w:ascii="Times New Roman" w:hAnsi="Times New Roman" w:cs="Times New Roman"/>
        </w:rPr>
      </w:pPr>
      <w:r>
        <w:rPr>
          <w:rFonts w:ascii="Times New Roman" w:hAnsi="Times New Roman" w:cs="Times New Roman"/>
        </w:rPr>
        <w:t>Federal Identity, Credential, and Access Management (FICAM) is the United States Federal Government’s enterprise approach to the common processes of identity management, credential management, access management, federation, and the governance that binds them. It is the federal implementation of the broader discipline of Identity, Credential, and Access Management (ICAM), and it is maintained as a government-wide architecture rather than as any single agency’s product or any vendor’s technology.</w:t>
      </w:r>
    </w:p>
    <w:p w14:paraId="32417E8E" w14:textId="762298D2" w:rsidR="008F5191" w:rsidRDefault="008F5191" w:rsidP="00366765">
      <w:pPr>
        <w:rPr>
          <w:rFonts w:ascii="Times New Roman" w:hAnsi="Times New Roman" w:cs="Times New Roman"/>
        </w:rPr>
      </w:pPr>
      <w:r>
        <w:rPr>
          <w:rFonts w:ascii="Times New Roman" w:hAnsi="Times New Roman" w:cs="Times New Roman"/>
        </w:rPr>
        <w:lastRenderedPageBreak/>
        <w:t xml:space="preserve">The distinction matters, and this book insists on it: FICAM is not a type of Active Directory, an edition of any product, or a synonym for a directory service. It is an architecture and a set of processes that describe how identity should be established, credentialed, governed, and used across federal agencies and their mission partners. Active Directory may </w:t>
      </w:r>
      <w:r>
        <w:rPr>
          <w:rFonts w:ascii="Times New Roman" w:hAnsi="Times New Roman" w:cs="Times New Roman"/>
          <w:i/>
          <w:iCs/>
        </w:rPr>
        <w:t>support</w:t>
      </w:r>
      <w:r>
        <w:rPr>
          <w:rFonts w:ascii="Times New Roman" w:hAnsi="Times New Roman" w:cs="Times New Roman"/>
        </w:rPr>
        <w:t xml:space="preserve"> several capabilities inside a FICAM-aligned environment – it may hold identities, perform authentication, and enforce authorization – but it is one technical participant in the architecture, not the architecture itself. The security significance of FICAM as a lens is that it defines what “correct” identity operation is supposed to mean: which processes must govern an identity’s lifecycle, what assurance an authentication must carry with it, and how trust may be extended across boundaries. Every later chapter’s technical detail is measured, implicitly, against whether it upholds or undermines what FICAM mandates and requires.</w:t>
      </w:r>
    </w:p>
    <w:p w14:paraId="45A41886" w14:textId="4A36C762" w:rsidR="008F5191" w:rsidRDefault="008F5191" w:rsidP="00366765">
      <w:pPr>
        <w:rPr>
          <w:rFonts w:ascii="Times New Roman" w:hAnsi="Times New Roman" w:cs="Times New Roman"/>
        </w:rPr>
      </w:pPr>
      <w:r>
        <w:rPr>
          <w:rFonts w:ascii="Times New Roman" w:hAnsi="Times New Roman" w:cs="Times New Roman"/>
        </w:rPr>
        <w:t>D4.3 DoD ICAM: THE DEPARTMENT’S IDENTITY SOLUTION IMPLEMENTATION</w:t>
      </w:r>
    </w:p>
    <w:p w14:paraId="3C334443" w14:textId="4C35B311" w:rsidR="008F5191" w:rsidRDefault="008F5191" w:rsidP="00366765">
      <w:pPr>
        <w:rPr>
          <w:rFonts w:ascii="Times New Roman" w:hAnsi="Times New Roman" w:cs="Times New Roman"/>
        </w:rPr>
      </w:pPr>
      <w:r>
        <w:rPr>
          <w:rFonts w:ascii="Times New Roman" w:hAnsi="Times New Roman" w:cs="Times New Roman"/>
        </w:rPr>
        <w:t>The Department of Defense (DoD) implements and extends the federal approach through Department of Defense Identity, Credential, and Access Management (DoD ICAM), which carries the federal architecture into a context with mandated requirements that civilian agencies and military departments and branches</w:t>
      </w:r>
      <w:r w:rsidR="002A4C0C">
        <w:rPr>
          <w:rFonts w:ascii="Times New Roman" w:hAnsi="Times New Roman" w:cs="Times New Roman"/>
        </w:rPr>
        <w:t xml:space="preserve"> do not all share. DoD ICAM addresses both person and non-person entities (NPEs), operations across classified and unclassified networks; mission and coalition services and federation capabilities that span components; and the authoritative identity attributes on which dynamic, attribute-based access decisions depend.</w:t>
      </w:r>
    </w:p>
    <w:p w14:paraId="3F315A1C" w14:textId="6EBE3DFD" w:rsidR="002A4C0C" w:rsidRDefault="002A4C0C" w:rsidP="00366765">
      <w:pPr>
        <w:rPr>
          <w:rFonts w:ascii="Times New Roman" w:hAnsi="Times New Roman" w:cs="Times New Roman"/>
        </w:rPr>
      </w:pPr>
      <w:r>
        <w:rPr>
          <w:rFonts w:ascii="Times New Roman" w:hAnsi="Times New Roman" w:cs="Times New Roman"/>
        </w:rPr>
        <w:t xml:space="preserve">The security significance of DoD ICAM is that it raises the stakes and widens the surface of the governance this book examines. Where a commercial environment governs identity for business continuity and data protection, DoD ICAM governs it solely for mission assurance purposes: the continued ability to identify, authenticate, and authorize personnel, systems, non-person entities, and partners so that mission activities can proceed and be trusted. It also introduces concerns – coalition and mission-partner federation, classified-fabric identity services, non-person </w:t>
      </w:r>
      <w:proofErr w:type="spellStart"/>
      <w:r>
        <w:rPr>
          <w:rFonts w:ascii="Times New Roman" w:hAnsi="Times New Roman" w:cs="Times New Roman"/>
        </w:rPr>
        <w:t>entitye</w:t>
      </w:r>
      <w:proofErr w:type="spellEnd"/>
      <w:r>
        <w:rPr>
          <w:rFonts w:ascii="Times New Roman" w:hAnsi="Times New Roman" w:cs="Times New Roman"/>
        </w:rPr>
        <w:t xml:space="preserve"> governance at scale – that expand what must be protected and what an adversary might seek to target. Throughout this book, “federal and military FICAM/ICAM environments” is used as a collective phrase, but the two frameworks are named distinctly whenever a specific authority is cited, because FICAM describes the government-wide approach and DoD ICAM the Department’s implementation, and conflating them obscures which authority actually governs a given requirement.</w:t>
      </w:r>
    </w:p>
    <w:p w14:paraId="73E6FA63" w14:textId="5A142B5D" w:rsidR="002A4C0C" w:rsidRDefault="002A4C0C" w:rsidP="00366765">
      <w:pPr>
        <w:rPr>
          <w:rFonts w:ascii="Times New Roman" w:hAnsi="Times New Roman" w:cs="Times New Roman"/>
        </w:rPr>
      </w:pPr>
      <w:r>
        <w:rPr>
          <w:rFonts w:ascii="Times New Roman" w:hAnsi="Times New Roman" w:cs="Times New Roman"/>
        </w:rPr>
        <w:t>I4.4 IDENTITY PROOFING AND ASSURANCE LEVELS</w:t>
      </w:r>
    </w:p>
    <w:p w14:paraId="35834043" w14:textId="4F4824B2" w:rsidR="00B47558" w:rsidRDefault="002A4C0C">
      <w:pPr>
        <w:rPr>
          <w:rFonts w:ascii="Times New Roman" w:hAnsi="Times New Roman" w:cs="Times New Roman"/>
        </w:rPr>
      </w:pPr>
      <w:r>
        <w:rPr>
          <w:rFonts w:ascii="Times New Roman" w:hAnsi="Times New Roman" w:cs="Times New Roman"/>
        </w:rPr>
        <w:t>Federal identity guidance grades confidence rather than treating identity as a binary. The National Institute of Standards and Technology (NIST) directly expresses, defines, and applies assurance levels to grade confidence in digital identity, credentialing, and authentication:</w:t>
      </w:r>
    </w:p>
    <w:p w14:paraId="37D1136B" w14:textId="3D656ABF" w:rsidR="002A4C0C" w:rsidRDefault="002A4C0C">
      <w:pPr>
        <w:rPr>
          <w:rFonts w:ascii="Times New Roman" w:hAnsi="Times New Roman" w:cs="Times New Roman"/>
          <w:i/>
          <w:iCs/>
        </w:rPr>
      </w:pPr>
      <w:r>
        <w:rPr>
          <w:rFonts w:ascii="Times New Roman" w:hAnsi="Times New Roman" w:cs="Times New Roman"/>
        </w:rPr>
        <w:t xml:space="preserve">N4.4.1 NIST SP 800-63-3, </w:t>
      </w:r>
      <w:r>
        <w:rPr>
          <w:rFonts w:ascii="Times New Roman" w:hAnsi="Times New Roman" w:cs="Times New Roman"/>
          <w:i/>
          <w:iCs/>
        </w:rPr>
        <w:t>DIGITAL IDENTITY GUIDELINES</w:t>
      </w:r>
    </w:p>
    <w:p w14:paraId="479A98CC" w14:textId="1CF602FC" w:rsidR="002A4C0C" w:rsidRDefault="002A4C0C">
      <w:pPr>
        <w:rPr>
          <w:rFonts w:ascii="Times New Roman" w:hAnsi="Times New Roman" w:cs="Times New Roman"/>
          <w:b/>
          <w:bCs/>
        </w:rPr>
      </w:pPr>
      <w:r>
        <w:rPr>
          <w:rFonts w:ascii="Times New Roman" w:hAnsi="Times New Roman" w:cs="Times New Roman"/>
        </w:rPr>
        <w:lastRenderedPageBreak/>
        <w:t xml:space="preserve">This is the primary foundational suite that officially established the tripartite framework for grading identity confidence. It moves away from binary assumptions by breaking assurance into three distinct tracks: </w:t>
      </w:r>
      <w:r>
        <w:rPr>
          <w:rFonts w:ascii="Times New Roman" w:hAnsi="Times New Roman" w:cs="Times New Roman"/>
          <w:b/>
          <w:bCs/>
        </w:rPr>
        <w:t xml:space="preserve">Identity Assurance Levels (IAL), Authentication Assurance Levels (AAL), </w:t>
      </w:r>
      <w:r>
        <w:rPr>
          <w:rFonts w:ascii="Times New Roman" w:hAnsi="Times New Roman" w:cs="Times New Roman"/>
        </w:rPr>
        <w:t xml:space="preserve">and </w:t>
      </w:r>
      <w:r>
        <w:rPr>
          <w:rFonts w:ascii="Times New Roman" w:hAnsi="Times New Roman" w:cs="Times New Roman"/>
          <w:b/>
          <w:bCs/>
        </w:rPr>
        <w:t>Federation Assurance Levels (FAL).</w:t>
      </w:r>
    </w:p>
    <w:p w14:paraId="58E75439" w14:textId="5616AF4B" w:rsidR="002A4C0C" w:rsidRDefault="002A4C0C">
      <w:pPr>
        <w:rPr>
          <w:i/>
          <w:iCs/>
        </w:rPr>
      </w:pPr>
      <w:r>
        <w:t xml:space="preserve">N4.4.2 NIST SP 800-63A, </w:t>
      </w:r>
      <w:r>
        <w:rPr>
          <w:i/>
          <w:iCs/>
        </w:rPr>
        <w:t>ENROLLMENT AND IDENTITY VERIFICATION</w:t>
      </w:r>
    </w:p>
    <w:p w14:paraId="7289CE21" w14:textId="4F373B77" w:rsidR="002A4C0C" w:rsidRDefault="002A4C0C">
      <w:pPr>
        <w:rPr>
          <w:iCs/>
        </w:rPr>
      </w:pPr>
      <w:r>
        <w:rPr>
          <w:iCs/>
        </w:rPr>
        <w:t>This specific sub-component focuses directly on the Identity Assurance Levels (IAL). It details the precise criteria, evidence validation steps, and identity proofing methods required to grade and achieve specific tiers of confidence (IAL1, IAL2, and IAL3, respectively) during a user’s initial onboarding.</w:t>
      </w:r>
    </w:p>
    <w:p w14:paraId="01DC018D" w14:textId="5624CDC9" w:rsidR="002A4C0C" w:rsidRDefault="002A4C0C">
      <w:pPr>
        <w:rPr>
          <w:i/>
        </w:rPr>
      </w:pPr>
      <w:r>
        <w:rPr>
          <w:iCs/>
        </w:rPr>
        <w:t xml:space="preserve">N4.4.3 NIST SP 800-63B, </w:t>
      </w:r>
      <w:r>
        <w:rPr>
          <w:i/>
        </w:rPr>
        <w:t>AUTHENTICATION AND LIFECYCLE MANAGEMENT</w:t>
      </w:r>
    </w:p>
    <w:p w14:paraId="1AAA042D" w14:textId="159ADA1C" w:rsidR="002A4C0C" w:rsidRDefault="002A4C0C">
      <w:pPr>
        <w:rPr>
          <w:iCs/>
        </w:rPr>
      </w:pPr>
      <w:r>
        <w:rPr>
          <w:iCs/>
        </w:rPr>
        <w:t>This sub-component governs the Authentication Assurance Levels (AAL). It establishes the security requirements for authenticators (such as passwords, tokens, or biometrics) and maps the strength of authentication processes into explicit confidence scores (AAL1, AAL2, and AAL3, respectively).</w:t>
      </w:r>
    </w:p>
    <w:p w14:paraId="60A8DA2B" w14:textId="33551D09" w:rsidR="002A4C0C" w:rsidRDefault="002A4C0C">
      <w:pPr>
        <w:rPr>
          <w:i/>
        </w:rPr>
      </w:pPr>
      <w:r>
        <w:rPr>
          <w:iCs/>
        </w:rPr>
        <w:t xml:space="preserve">N4.4.4 NIST SP 800-63C, </w:t>
      </w:r>
      <w:r>
        <w:rPr>
          <w:i/>
        </w:rPr>
        <w:t>FEDERATION AND ASSERTIONS</w:t>
      </w:r>
    </w:p>
    <w:p w14:paraId="4DCCA099" w14:textId="1DEBB527" w:rsidR="002A4C0C" w:rsidRDefault="002A4C0C">
      <w:pPr>
        <w:rPr>
          <w:iCs/>
        </w:rPr>
      </w:pPr>
      <w:r>
        <w:rPr>
          <w:iCs/>
        </w:rPr>
        <w:t>This sub-component details the Federation Assurance Levels (FAL). It outlines how identity assertions (like SAML or OpenID Connect (OIDC) tokens) are passed securely between Identity Providers (IdPs) and Relying Parties (RPs), grading the confidence of those data exchanges.</w:t>
      </w:r>
    </w:p>
    <w:p w14:paraId="18A9A216" w14:textId="78F877A2" w:rsidR="00DA7DB2" w:rsidRDefault="00DA7DB2">
      <w:pPr>
        <w:rPr>
          <w:iCs/>
        </w:rPr>
      </w:pPr>
      <w:r>
        <w:rPr>
          <w:iCs/>
        </w:rPr>
        <w:t>It is important to note that the NIST SP 800-63-4 revision series continues this non-binary approach by refining these assurance levels to address emerging technologies, phishing resistance, and fraud detection.</w:t>
      </w:r>
    </w:p>
    <w:p w14:paraId="3211A772" w14:textId="06DE08F2" w:rsidR="00DA7DB2" w:rsidRDefault="00DA7DB2">
      <w:pPr>
        <w:rPr>
          <w:iCs/>
        </w:rPr>
      </w:pPr>
      <w:r>
        <w:rPr>
          <w:iCs/>
        </w:rPr>
        <w:t>I4.5 IDENTITY ASSURANCE LEVEL (IAL)</w:t>
      </w:r>
    </w:p>
    <w:p w14:paraId="0B893173" w14:textId="35CAEBFA" w:rsidR="00DA7DB2" w:rsidRDefault="00DA7DB2">
      <w:pPr>
        <w:rPr>
          <w:iCs/>
        </w:rPr>
      </w:pPr>
      <w:r>
        <w:rPr>
          <w:iCs/>
        </w:rPr>
        <w:t>Identity Assurance Level (IAL) describes the confidence in the identity-proofing process that establishes who someone is.</w:t>
      </w:r>
    </w:p>
    <w:p w14:paraId="52F6D0E5" w14:textId="760CF0BB" w:rsidR="00DA7DB2" w:rsidRDefault="00DA7DB2">
      <w:pPr>
        <w:rPr>
          <w:iCs/>
        </w:rPr>
      </w:pPr>
      <w:r>
        <w:rPr>
          <w:iCs/>
        </w:rPr>
        <w:t>A4.6 AUTHENTICATOR ASSURANCE LEVEL (AAL)</w:t>
      </w:r>
    </w:p>
    <w:p w14:paraId="103A8851" w14:textId="5FF0EEDC" w:rsidR="00DA7DB2" w:rsidRDefault="00DA7DB2">
      <w:pPr>
        <w:rPr>
          <w:iCs/>
        </w:rPr>
      </w:pPr>
      <w:r>
        <w:rPr>
          <w:iCs/>
        </w:rPr>
        <w:t>Authenticator Assurance Level (AAL) describes the strength of the authentication that binds a session to a specific identity.</w:t>
      </w:r>
    </w:p>
    <w:p w14:paraId="5AF10896" w14:textId="7BFC343D" w:rsidR="00DA7DB2" w:rsidRDefault="00DA7DB2">
      <w:pPr>
        <w:rPr>
          <w:iCs/>
        </w:rPr>
      </w:pPr>
      <w:r>
        <w:rPr>
          <w:iCs/>
        </w:rPr>
        <w:t>F4.7 FEDERATION ASSURANCE LEVEL (FAL)</w:t>
      </w:r>
    </w:p>
    <w:p w14:paraId="0E70AD1C" w14:textId="494A0403" w:rsidR="00DA7DB2" w:rsidRDefault="00DA7DB2">
      <w:pPr>
        <w:rPr>
          <w:iCs/>
        </w:rPr>
      </w:pPr>
      <w:r>
        <w:rPr>
          <w:iCs/>
        </w:rPr>
        <w:t>Federation Assurance Level (FAL) describes the strength and protection of an assertion when identity is conveyed across a federation.</w:t>
      </w:r>
    </w:p>
    <w:p w14:paraId="17779871" w14:textId="443E4EBB" w:rsidR="00DA7DB2" w:rsidRDefault="00DA7DB2">
      <w:pPr>
        <w:rPr>
          <w:iCs/>
        </w:rPr>
      </w:pPr>
      <w:r>
        <w:rPr>
          <w:iCs/>
        </w:rPr>
        <w:lastRenderedPageBreak/>
        <w:t>The security significance of the assurance model is that it makes “trusted” a graded, requirement-driven property rather than an assumption. A system does not simply trust an identity; it trusts it to a level appropriate for what is being accessed, and that level is supposed to be established by proofing, enforced by authentication strength, and preserved across federated boundaries. Reading assurance as terrain means recognizing that each level corresponds to controls that must be implemented and sustained – and that a gap between the required assurance and the delivered assurance is precisely the kind of governance-to-technical drift this book aims to track. When a later chapter examines an attack that forges an assertion or bypasses strong authentication, the assurance model is the standard that attack directly violates; naming the standard here is what makes the violation legible later.</w:t>
      </w:r>
    </w:p>
    <w:p w14:paraId="516235CE" w14:textId="4FDA0136" w:rsidR="00DA7DB2" w:rsidRDefault="00DA7DB2" w:rsidP="00DA7DB2">
      <w:pPr>
        <w:ind w:left="720"/>
        <w:rPr>
          <w:b/>
          <w:bCs/>
          <w:iCs/>
        </w:rPr>
      </w:pPr>
      <w:r>
        <w:rPr>
          <w:b/>
          <w:bCs/>
          <w:iCs/>
        </w:rPr>
        <w:t>Standards currency: The digital-identity guidance referenced in this chapter is the NIST SP 800-63-4, finalized July 31, 2025, together with its companion volumes 800-63A (identity proofing and enrollment), 800-63B-4 (authentication and authenticator management), and 800-63C-4 (federation and assertions). This Revision 4 suite supersedes the Revision 3 suite; earlier revisions are cited in this book only where legacy systems, prior authorizations, or historical terminology require them. Federal guidance evolves, and policy-referencing chapters should first be validated against publications current at the time of its use.</w:t>
      </w:r>
    </w:p>
    <w:p w14:paraId="72D1DFE1" w14:textId="6E33C57F" w:rsidR="00DA7DB2" w:rsidRDefault="00DA7DB2" w:rsidP="00DA7DB2">
      <w:pPr>
        <w:rPr>
          <w:iCs/>
        </w:rPr>
      </w:pPr>
      <w:r>
        <w:rPr>
          <w:iCs/>
        </w:rPr>
        <w:t>C4.8 CREDENTIALS: PIV, CAC, AND DERIVED CREDENTIALS</w:t>
      </w:r>
    </w:p>
    <w:p w14:paraId="6F5163CE" w14:textId="4C1FADD4" w:rsidR="00DA7DB2" w:rsidRDefault="00DA7DB2" w:rsidP="00DA7DB2">
      <w:pPr>
        <w:rPr>
          <w:iCs/>
        </w:rPr>
      </w:pPr>
      <w:r>
        <w:rPr>
          <w:iCs/>
        </w:rPr>
        <w:t>The federal government’s answer to “what does a person carry to prove identity to a high assurance” is a standardized credential. Homeland Security Presidential Directive 12 (HSPD-12) directed a common identification standard, which NIST expressed as Federal Information Processing Standard (FIPS) 201, defining the Personal</w:t>
      </w:r>
      <w:r w:rsidR="00833715">
        <w:rPr>
          <w:iCs/>
        </w:rPr>
        <w:t xml:space="preserve"> Identity Verification (PIV) credential. The Department of Defense’s implementation of that standard is the Common Access Card (CAC), the PIV-compliant smartcard issued to military, civilian, retired military, and contractor personnel. Where a mobile device or system cannot use the physical card directly – governed by additional NIST guidance – can carry equivalent assurance in a different form factor.</w:t>
      </w:r>
    </w:p>
    <w:p w14:paraId="5776FB50" w14:textId="4AA3712C" w:rsidR="00833715" w:rsidRDefault="00833715" w:rsidP="00DA7DB2">
      <w:pPr>
        <w:rPr>
          <w:iCs/>
        </w:rPr>
      </w:pPr>
      <w:r>
        <w:rPr>
          <w:iCs/>
        </w:rPr>
        <w:t xml:space="preserve">The security significance of these credentials is that they embody assurance in something an adversary cannot simply guess: a cryptographic credential bound to a proofed identity, protected by hardware and a personal identifier. A PIV or CAC credential raises the authenticator assurance of the identities that use it far above a password, which is precisely why federal policy mandates them for interactive access. But the same fact carries a boundary the book will return to repeatedly: these credentials protect the person </w:t>
      </w:r>
      <w:r>
        <w:rPr>
          <w:iCs/>
        </w:rPr>
        <w:lastRenderedPageBreak/>
        <w:t xml:space="preserve">and non-person entities that can hold them, and there are identities – service accounts and other machine entities – that cannot present a smartcard at all. The governance mandate for strong human credentials is therefore not, by itself, a complete answer to identity assurance; it protects only one class of identity while leaving another to be governed by different means. Recognizing which </w:t>
      </w:r>
      <w:proofErr w:type="gramStart"/>
      <w:r>
        <w:rPr>
          <w:iCs/>
        </w:rPr>
        <w:t>identities</w:t>
      </w:r>
      <w:proofErr w:type="gramEnd"/>
      <w:r>
        <w:rPr>
          <w:iCs/>
        </w:rPr>
        <w:t xml:space="preserve"> a credential mandate reaches, and which it structurally cannot, is a governance reading with direct security consequences.</w:t>
      </w:r>
    </w:p>
    <w:p w14:paraId="65970AD9" w14:textId="4E286197" w:rsidR="00833715" w:rsidRDefault="00833715" w:rsidP="00DA7DB2">
      <w:pPr>
        <w:rPr>
          <w:iCs/>
        </w:rPr>
      </w:pPr>
      <w:r>
        <w:rPr>
          <w:iCs/>
        </w:rPr>
        <w:t>T4.9 THE FEDERAL PUBLIC KEY INFRASTRUCTURE (FPKI)</w:t>
      </w:r>
    </w:p>
    <w:p w14:paraId="469D832A" w14:textId="6C11AC97" w:rsidR="00833715" w:rsidRDefault="00833715" w:rsidP="00DA7DB2">
      <w:pPr>
        <w:rPr>
          <w:iCs/>
        </w:rPr>
      </w:pPr>
      <w:r>
        <w:rPr>
          <w:iCs/>
        </w:rPr>
        <w:t>Behind every PIV and CAC credential stands a trust infrastructure. The Federal Public Key Infrastructure (FPKI) is the federal ecosystem of certificate authorities and trust relationships that issues, validates, and anchors the certificates a PIV or CAC credential carries.  When a credential authenticates, the systems that accept it rely on the FPKI to establish that the certificate is genuine, valid, and issued under a trusted issuing authority.</w:t>
      </w:r>
    </w:p>
    <w:p w14:paraId="7A721DD0" w14:textId="184A7F6F" w:rsidR="00833715" w:rsidRDefault="00833715" w:rsidP="00DA7DB2">
      <w:pPr>
        <w:rPr>
          <w:iCs/>
        </w:rPr>
      </w:pPr>
      <w:r>
        <w:rPr>
          <w:iCs/>
        </w:rPr>
        <w:t>The security significance of the FPKI is that it is the root of trust for federal credential-based authentication, and roots of trust concentrate consequence. The certificate authorities, trust anchors, and validation pathways that make up the FPKI are the machinery by which a presented credential is believed; their integrity underpins the meaning of every PIV and CAC authentication. In an Active Directory environment, credential-based authentication and the mapping of certificates to directory identities depend on this public-key trust being sound. This chapter treats the FPKI at the level of governance and trust – what it is, what it anchors, and why its integrity matters – and leaves the technical detail of how certificate services and certificate-to-identity mapping operate to the enterprise-identity-services chapter that follows. The point to carry forward is that public-key trust is not a peripheral cryptographic detail but the foundation on which the government’s strongest credentials rest.</w:t>
      </w:r>
    </w:p>
    <w:p w14:paraId="2718EF73" w14:textId="622ED206" w:rsidR="00833715" w:rsidRDefault="00833715" w:rsidP="00DA7DB2">
      <w:pPr>
        <w:rPr>
          <w:iCs/>
        </w:rPr>
      </w:pPr>
      <w:r>
        <w:rPr>
          <w:iCs/>
        </w:rPr>
        <w:t>T4.10 THE IDENTITY LIFECYCLE AND ITS GOVERNANCE DOMAINS</w:t>
      </w:r>
    </w:p>
    <w:p w14:paraId="4F4AD422" w14:textId="7998DC4C" w:rsidR="00833715" w:rsidRDefault="00833715" w:rsidP="00DA7DB2">
      <w:pPr>
        <w:rPr>
          <w:iCs/>
        </w:rPr>
      </w:pPr>
      <w:r>
        <w:rPr>
          <w:iCs/>
        </w:rPr>
        <w:t>Governance ins not a single gate but, rather, a lifecycle. An identity is established through identity proofing; a credential is issued and bound to it; access is provisioned according to authority; authentication and authorization</w:t>
      </w:r>
      <w:r w:rsidR="009637F0">
        <w:rPr>
          <w:iCs/>
        </w:rPr>
        <w:t xml:space="preserve"> occur repeatedly during use; access is periodically reviewed and recertified; credentials are renewed or revoked; and, at the end, the identity is deprovisioned. FICAM organizes the process that govern this very lifecycle into recognizable domains – identity governance, credential governance, access governance, and federation governance – each responsible for a portion of the whole.</w:t>
      </w:r>
    </w:p>
    <w:p w14:paraId="098F4BDD" w14:textId="4B74521B" w:rsidR="009637F0" w:rsidRDefault="009637F0" w:rsidP="00DA7DB2">
      <w:pPr>
        <w:rPr>
          <w:iCs/>
        </w:rPr>
      </w:pPr>
      <w:r>
        <w:rPr>
          <w:iCs/>
        </w:rPr>
        <w:t xml:space="preserve">The security significance of the lifecycle framing is that most identity failures are lifecycle failures, and the domain that failed is usually identifiable. Access that was appropriate at the time of provisioning but never reviewed becomes excessive privilege; a credential that </w:t>
      </w:r>
      <w:r>
        <w:rPr>
          <w:iCs/>
        </w:rPr>
        <w:lastRenderedPageBreak/>
        <w:t>was strong at issuance but never rotated becomes a standing exposure; a federation relationship established for a real need but never governed becomes an unmonitored trust pathway; an identity that should have been deprovisioned at a person’s departure becomes an orphaned account. Each of these is a governance domain doing its job incompletely, and each produces a technical condition an adversary can use to their advantage. Reading the lifecycle as terrain means being able to locate, for any weakness, which governance domain and which lifecycle stage allowed it to exist and persist – which is the connection between a technical finding and its governance root that this book insists on making throughout.</w:t>
      </w:r>
    </w:p>
    <w:p w14:paraId="40E5B0CD" w14:textId="65E1F69A" w:rsidR="009637F0" w:rsidRDefault="009637F0" w:rsidP="00DA7DB2">
      <w:pPr>
        <w:rPr>
          <w:iCs/>
        </w:rPr>
      </w:pPr>
      <w:r>
        <w:rPr>
          <w:iCs/>
        </w:rPr>
        <w:t>Z4.11 ZERO TRUST ALIGNMENT</w:t>
      </w:r>
    </w:p>
    <w:p w14:paraId="27F5499D" w14:textId="3721FCFA" w:rsidR="009637F0" w:rsidRDefault="009637F0" w:rsidP="00DA7DB2">
      <w:pPr>
        <w:rPr>
          <w:iCs/>
        </w:rPr>
      </w:pPr>
      <w:r>
        <w:rPr>
          <w:iCs/>
        </w:rPr>
        <w:t>Federal identity governance now operates under an explicit Zero Trust mandate. Executive Order (EO) 14028 sets the direction; Office of Management and Budget (OMB) Memorandum M-22-09 established a federal Zero Trust strategy that places identity at the center and requires phishing-resistant Multi-Factor Authentication (MFA); and the Department of Defense’s own Zero Trust strategy carries the model into defense environments with a defined set of capability pillars and a target timeline. The unifying principle is the removal of implicit trust: no identity, device, or network position is trusted by default, and access decisions are made continuously and explicitly on the basis of verified and validated identity and context.</w:t>
      </w:r>
    </w:p>
    <w:p w14:paraId="5966ECCC" w14:textId="52841B58" w:rsidR="009637F0" w:rsidRDefault="009637F0" w:rsidP="00DA7DB2">
      <w:pPr>
        <w:rPr>
          <w:iCs/>
        </w:rPr>
      </w:pPr>
      <w:r>
        <w:rPr>
          <w:iCs/>
        </w:rPr>
        <w:t>The security significance of Zero Trust for this book is that it reframes what identity governance is expected to deliver and provide. It elevates identity from one control among many to the primary control plane, and it converts trust from a one-time grant into a property that must be continuously re-established. Phishing-resistant authentication – PIV and CAC credentials, PIV-derived credentials, and modern authenticators such as those based on the FIDO2 and WebAuthn standards – is mandated precisely because it denies adversaries the credential-phishing pathway that weak er authentication leaves wide open. Reading Zero Trust as terrain means understanding that it raises the governance bar the rest of the systems must meet to be considered compliant, and that a gap between the Zero Trust posture an agency or mission environment claims and the one its identity information systems truly enforce is, again, a governance-to-technical drift with security consequences. The book measures many later controls against whether they advance or merely assert Zero Trust.</w:t>
      </w:r>
    </w:p>
    <w:p w14:paraId="4709D599" w14:textId="38F6258C" w:rsidR="009637F0" w:rsidRDefault="009637F0" w:rsidP="00DA7DB2">
      <w:pPr>
        <w:rPr>
          <w:iCs/>
        </w:rPr>
      </w:pPr>
      <w:r>
        <w:rPr>
          <w:iCs/>
        </w:rPr>
        <w:t>G4.11 GOVERNANCE AS AN ATTACK-RELEVANT CONDITION</w:t>
      </w:r>
    </w:p>
    <w:p w14:paraId="06FF926A" w14:textId="4693CE0E" w:rsidR="009637F0" w:rsidRDefault="009637F0" w:rsidP="00DA7DB2">
      <w:pPr>
        <w:rPr>
          <w:iCs/>
        </w:rPr>
      </w:pPr>
      <w:r>
        <w:rPr>
          <w:iCs/>
        </w:rPr>
        <w:t xml:space="preserve">The through-line of Chapter 4 deserves to be stated plainly before the chapter closes, because it is one of the book’s distinguishing commitments. Most treatments separate </w:t>
      </w:r>
      <w:r>
        <w:rPr>
          <w:iCs/>
        </w:rPr>
        <w:lastRenderedPageBreak/>
        <w:t>governance from attack: governance books discuss policy, procedures, and standards (PPS)</w:t>
      </w:r>
      <w:r w:rsidR="00031296">
        <w:rPr>
          <w:iCs/>
        </w:rPr>
        <w:t xml:space="preserve"> and attack-based books discuss misconfiguration, as though the two lived in different worlds. They do not. A governance decision produces an architectural implementation, which produces a technical control, which is subject to drift, which – where drift opens a gap – becomes an exploitable pathway with an observable footprint and a mission consequence. That chain is a single continuous looping object, and this book follows it in both directions, visiting both worlds, back to the governance domain and lifecycle stage that allowed it, and from a governance requirement forward to the control that must enforce it and the attack that results when the control is absent.</w:t>
      </w:r>
    </w:p>
    <w:p w14:paraId="065CFC32" w14:textId="08AF6C1D" w:rsidR="00FE3229" w:rsidRDefault="00373A85">
      <w:r>
        <w:t xml:space="preserve">This does not </w:t>
      </w:r>
      <w:r w:rsidR="00F16E7F">
        <w:t>mean that</w:t>
      </w:r>
      <w:r>
        <w:t xml:space="preserve"> every governance failure is a vulnerability in the narrow technical sense, nor that compliance and security are the same thing. They are not. The relationship is more specific: governance defines the intended state, and the distance between the intended state and the actual state is where risk gathers for lunch – risk accumulates. A federal environment can pass an audit and remain exploitable, because the audit measures the presence (or lack</w:t>
      </w:r>
      <w:r w:rsidR="00F16E7F">
        <w:t xml:space="preserve"> </w:t>
      </w:r>
      <w:r>
        <w:t>thereof) controls while an adversary measures their immediate effect. Reading governance as an attack-relevant condition is therefore</w:t>
      </w:r>
      <w:r w:rsidR="00F16E7F">
        <w:t xml:space="preserve"> </w:t>
      </w:r>
      <w:r>
        <w:t xml:space="preserve">not a claim that policies, procedures, and guidance is security. They are not. They are opposite – a discipline for seeing </w:t>
      </w:r>
      <w:r w:rsidR="00F16E7F">
        <w:t>exactly</w:t>
      </w:r>
      <w:r>
        <w:t xml:space="preserve"> where those policies, procedures, and guidance have and have not become effective controls, which is the only place either a</w:t>
      </w:r>
      <w:r w:rsidR="00F16E7F">
        <w:t xml:space="preserve"> </w:t>
      </w:r>
      <w:r>
        <w:t>defender or an attacker can actually operate.</w:t>
      </w:r>
    </w:p>
    <w:p w14:paraId="618400FE" w14:textId="16E53C92" w:rsidR="00F16E7F" w:rsidRDefault="00F16E7F">
      <w:r>
        <w:t>S4.12 SUMMARY AND TRANSITION</w:t>
      </w:r>
    </w:p>
    <w:p w14:paraId="544E1209" w14:textId="77777777" w:rsidR="00F16E7F" w:rsidRPr="00F16E7F" w:rsidRDefault="00F16E7F" w:rsidP="00F16E7F">
      <w:pPr>
        <w:rPr>
          <w:iCs/>
        </w:rPr>
      </w:pPr>
      <w:r w:rsidRPr="00F16E7F">
        <w:rPr>
          <w:iCs/>
        </w:rPr>
        <w:t xml:space="preserve">This chapter has established federal identity governance as the lens through which the book reads Active Directory security. FICAM is the federal government's enterprise approach to identity, credential, access, federation, and governance, and DoD ICAM is the Department of Defense's implementation of it, raising the stakes to mission assurance and widening the surface to non-person entities, classified fabrics, and mission-partner federation. Assurance levels make trust a graded, requirement-driven property across proofing, authentication, and federation. PIV and CAC credentials, anchored in the Federal PKI, embody strong assurance for the identities that can hold them while leaving machine identities to be governed by other means. The identity lifecycle and its governance domains </w:t>
      </w:r>
      <w:proofErr w:type="gramStart"/>
      <w:r w:rsidRPr="00F16E7F">
        <w:rPr>
          <w:iCs/>
        </w:rPr>
        <w:t>locate</w:t>
      </w:r>
      <w:proofErr w:type="gramEnd"/>
      <w:r w:rsidRPr="00F16E7F">
        <w:rPr>
          <w:iCs/>
        </w:rPr>
        <w:t xml:space="preserve"> where identity failures originate, and the Zero Trust mandate raises the bar the whole system must meet. Above all, governance is the origin of the technical conditions that later become attack surface, and the distance between intended and actual state is where risk lives.</w:t>
      </w:r>
    </w:p>
    <w:p w14:paraId="175D322F" w14:textId="1E440A2C" w:rsidR="00F16E7F" w:rsidRPr="00DA7DB2" w:rsidRDefault="00F16E7F">
      <w:pPr>
        <w:rPr>
          <w:iCs/>
        </w:rPr>
      </w:pPr>
      <w:r>
        <w:rPr>
          <w:iCs/>
        </w:rPr>
        <w:t xml:space="preserve">This book has now established the identity trust system, its architecture, its networking substrate, and its governance. The next chapter returns to the technical layer to examine, in </w:t>
      </w:r>
      <w:r>
        <w:rPr>
          <w:iCs/>
        </w:rPr>
        <w:lastRenderedPageBreak/>
        <w:t xml:space="preserve">depth, the authentication protocols through which the directory establishes identity – the Kerberos ticketing exchanges and the New Technology LAN </w:t>
      </w:r>
      <w:proofErr w:type="spellStart"/>
      <w:r>
        <w:rPr>
          <w:iCs/>
        </w:rPr>
        <w:t>Mnager</w:t>
      </w:r>
      <w:proofErr w:type="spellEnd"/>
      <w:r>
        <w:rPr>
          <w:iCs/>
        </w:rPr>
        <w:t xml:space="preserve"> challenge-response – showing how the assurance the governance requires is, or is not, delivered by the </w:t>
      </w:r>
      <w:proofErr w:type="spellStart"/>
      <w:r>
        <w:rPr>
          <w:iCs/>
        </w:rPr>
        <w:t>echanisms</w:t>
      </w:r>
      <w:proofErr w:type="spellEnd"/>
      <w:r>
        <w:rPr>
          <w:iCs/>
        </w:rPr>
        <w:t xml:space="preserve"> that carry authentication.</w:t>
      </w:r>
    </w:p>
    <w:sectPr w:rsidR="00F16E7F" w:rsidRPr="00DA7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E1C6F"/>
    <w:multiLevelType w:val="hybridMultilevel"/>
    <w:tmpl w:val="E87EA94E"/>
    <w:lvl w:ilvl="0" w:tplc="EDEAB590">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23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65"/>
    <w:rsid w:val="00031296"/>
    <w:rsid w:val="000A26AA"/>
    <w:rsid w:val="00263E23"/>
    <w:rsid w:val="002A4C0C"/>
    <w:rsid w:val="00366765"/>
    <w:rsid w:val="00373A85"/>
    <w:rsid w:val="00833715"/>
    <w:rsid w:val="008F5191"/>
    <w:rsid w:val="00941DF8"/>
    <w:rsid w:val="009637F0"/>
    <w:rsid w:val="0099240F"/>
    <w:rsid w:val="00A435E7"/>
    <w:rsid w:val="00B06498"/>
    <w:rsid w:val="00B47558"/>
    <w:rsid w:val="00C0547C"/>
    <w:rsid w:val="00C5026C"/>
    <w:rsid w:val="00DA7DB2"/>
    <w:rsid w:val="00E93843"/>
    <w:rsid w:val="00F16E7F"/>
    <w:rsid w:val="00F54F43"/>
    <w:rsid w:val="00FE3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8DE2"/>
  <w15:chartTrackingRefBased/>
  <w15:docId w15:val="{EDCB5269-EF50-4251-9E28-4396DFE6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765"/>
    <w:rPr>
      <w:rFonts w:eastAsiaTheme="majorEastAsia" w:cstheme="majorBidi"/>
      <w:color w:val="272727" w:themeColor="text1" w:themeTint="D8"/>
    </w:rPr>
  </w:style>
  <w:style w:type="paragraph" w:styleId="Title">
    <w:name w:val="Title"/>
    <w:basedOn w:val="Normal"/>
    <w:next w:val="Normal"/>
    <w:link w:val="TitleChar"/>
    <w:uiPriority w:val="10"/>
    <w:qFormat/>
    <w:rsid w:val="00366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765"/>
    <w:pPr>
      <w:spacing w:before="160"/>
      <w:jc w:val="center"/>
    </w:pPr>
    <w:rPr>
      <w:i/>
      <w:iCs/>
      <w:color w:val="404040" w:themeColor="text1" w:themeTint="BF"/>
    </w:rPr>
  </w:style>
  <w:style w:type="character" w:customStyle="1" w:styleId="QuoteChar">
    <w:name w:val="Quote Char"/>
    <w:basedOn w:val="DefaultParagraphFont"/>
    <w:link w:val="Quote"/>
    <w:uiPriority w:val="29"/>
    <w:rsid w:val="00366765"/>
    <w:rPr>
      <w:i/>
      <w:iCs/>
      <w:color w:val="404040" w:themeColor="text1" w:themeTint="BF"/>
    </w:rPr>
  </w:style>
  <w:style w:type="paragraph" w:styleId="ListParagraph">
    <w:name w:val="List Paragraph"/>
    <w:basedOn w:val="Normal"/>
    <w:uiPriority w:val="34"/>
    <w:qFormat/>
    <w:rsid w:val="00366765"/>
    <w:pPr>
      <w:ind w:left="720"/>
      <w:contextualSpacing/>
    </w:pPr>
  </w:style>
  <w:style w:type="character" w:styleId="IntenseEmphasis">
    <w:name w:val="Intense Emphasis"/>
    <w:basedOn w:val="DefaultParagraphFont"/>
    <w:uiPriority w:val="21"/>
    <w:qFormat/>
    <w:rsid w:val="00366765"/>
    <w:rPr>
      <w:i/>
      <w:iCs/>
      <w:color w:val="0F4761" w:themeColor="accent1" w:themeShade="BF"/>
    </w:rPr>
  </w:style>
  <w:style w:type="paragraph" w:styleId="IntenseQuote">
    <w:name w:val="Intense Quote"/>
    <w:basedOn w:val="Normal"/>
    <w:next w:val="Normal"/>
    <w:link w:val="IntenseQuoteChar"/>
    <w:uiPriority w:val="30"/>
    <w:qFormat/>
    <w:rsid w:val="00366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765"/>
    <w:rPr>
      <w:i/>
      <w:iCs/>
      <w:color w:val="0F4761" w:themeColor="accent1" w:themeShade="BF"/>
    </w:rPr>
  </w:style>
  <w:style w:type="character" w:styleId="IntenseReference">
    <w:name w:val="Intense Reference"/>
    <w:basedOn w:val="DefaultParagraphFont"/>
    <w:uiPriority w:val="32"/>
    <w:qFormat/>
    <w:rsid w:val="00366765"/>
    <w:rPr>
      <w:b/>
      <w:bCs/>
      <w:smallCaps/>
      <w:color w:val="0F4761" w:themeColor="accent1" w:themeShade="BF"/>
      <w:spacing w:val="5"/>
    </w:rPr>
  </w:style>
  <w:style w:type="character" w:styleId="BookTitle">
    <w:name w:val="Book Title"/>
    <w:basedOn w:val="DefaultParagraphFont"/>
    <w:uiPriority w:val="33"/>
    <w:qFormat/>
    <w:rsid w:val="00031296"/>
    <w:rPr>
      <w:b/>
      <w:bCs/>
      <w:i/>
      <w:iCs/>
      <w:spacing w:val="5"/>
    </w:rPr>
  </w:style>
  <w:style w:type="paragraph" w:styleId="Caption">
    <w:name w:val="caption"/>
    <w:basedOn w:val="Normal"/>
    <w:next w:val="Normal"/>
    <w:uiPriority w:val="35"/>
    <w:semiHidden/>
    <w:unhideWhenUsed/>
    <w:qFormat/>
    <w:rsid w:val="00031296"/>
    <w:pPr>
      <w:spacing w:after="200" w:line="240" w:lineRule="auto"/>
    </w:pPr>
    <w:rPr>
      <w:i/>
      <w:iCs/>
      <w:color w:val="0E2841" w:themeColor="text2"/>
      <w:sz w:val="18"/>
      <w:szCs w:val="18"/>
    </w:rPr>
  </w:style>
  <w:style w:type="character" w:styleId="Emphasis">
    <w:name w:val="Emphasis"/>
    <w:basedOn w:val="DefaultParagraphFont"/>
    <w:uiPriority w:val="20"/>
    <w:qFormat/>
    <w:rsid w:val="00031296"/>
    <w:rPr>
      <w:i/>
      <w:iCs/>
    </w:rPr>
  </w:style>
  <w:style w:type="paragraph" w:styleId="NoSpacing">
    <w:name w:val="No Spacing"/>
    <w:uiPriority w:val="1"/>
    <w:qFormat/>
    <w:rsid w:val="00031296"/>
    <w:pPr>
      <w:spacing w:after="0" w:line="240" w:lineRule="auto"/>
    </w:pPr>
  </w:style>
  <w:style w:type="character" w:styleId="Strong">
    <w:name w:val="Strong"/>
    <w:basedOn w:val="DefaultParagraphFont"/>
    <w:uiPriority w:val="22"/>
    <w:qFormat/>
    <w:rsid w:val="00031296"/>
    <w:rPr>
      <w:b/>
      <w:bCs/>
    </w:rPr>
  </w:style>
  <w:style w:type="character" w:styleId="SubtleEmphasis">
    <w:name w:val="Subtle Emphasis"/>
    <w:basedOn w:val="DefaultParagraphFont"/>
    <w:uiPriority w:val="19"/>
    <w:qFormat/>
    <w:rsid w:val="00031296"/>
    <w:rPr>
      <w:i/>
      <w:iCs/>
      <w:color w:val="404040" w:themeColor="text1" w:themeTint="BF"/>
    </w:rPr>
  </w:style>
  <w:style w:type="character" w:styleId="SubtleReference">
    <w:name w:val="Subtle Reference"/>
    <w:basedOn w:val="DefaultParagraphFont"/>
    <w:uiPriority w:val="31"/>
    <w:qFormat/>
    <w:rsid w:val="00031296"/>
    <w:rPr>
      <w:smallCaps/>
      <w:color w:val="5A5A5A" w:themeColor="text1" w:themeTint="A5"/>
    </w:rPr>
  </w:style>
  <w:style w:type="paragraph" w:styleId="TOCHeading">
    <w:name w:val="TOC Heading"/>
    <w:basedOn w:val="Heading1"/>
    <w:next w:val="Normal"/>
    <w:uiPriority w:val="39"/>
    <w:semiHidden/>
    <w:unhideWhenUsed/>
    <w:qFormat/>
    <w:rsid w:val="0003129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2ACE674-7D7D-45DC-BB87-48E5FC83CF67}">
  <we:reference id="wa200005826" version="1.8.0.0" store="en-US" storeType="OMEX"/>
  <we:alternateReferences>
    <we:reference id="WA200005826" version="1.8.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FAD980F-3E06-48E4-910F-F7ABEEF70978}">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C9E83B0-05B6-4C80-8701-8E8B177A698B}">
  <we:reference id="wa200000086" version="1.5.0.0" store="en-US" storeType="OMEX"/>
  <we:alternateReferences>
    <we:reference id="WA200000086" version="1.5.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107</TotalTime>
  <Pages>9</Pages>
  <Words>3321</Words>
  <Characters>18933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2026-07-15T23:43:00Z</dcterms:created>
  <dcterms:modified xsi:type="dcterms:W3CDTF">2026-07-19T20:05:00Z</dcterms:modified>
</cp:coreProperties>
</file>